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CA7" w:rsidRDefault="00BA066B" w:rsidP="00782CA7">
      <w:pPr>
        <w:rPr>
          <w:b/>
        </w:rPr>
      </w:pPr>
      <w:bookmarkStart w:id="0" w:name="_GoBack"/>
      <w:bookmarkEnd w:id="0"/>
      <w:r w:rsidRPr="00BA066B">
        <w:rPr>
          <w:b/>
        </w:rPr>
        <w:t>ANNEX</w:t>
      </w:r>
      <w:r w:rsidR="00AC0B80">
        <w:rPr>
          <w:b/>
        </w:rPr>
        <w:t xml:space="preserve"> TO SUBMISSION FROM LUCY HUNTER BLACKBURN</w:t>
      </w:r>
    </w:p>
    <w:p w:rsidR="006D4FE5" w:rsidRDefault="006D4FE5" w:rsidP="00782CA7">
      <w:pPr>
        <w:rPr>
          <w:b/>
        </w:rPr>
      </w:pPr>
    </w:p>
    <w:p w:rsidR="006C1227" w:rsidRPr="00BA066B" w:rsidRDefault="006D4FE5" w:rsidP="00782CA7">
      <w:pPr>
        <w:rPr>
          <w:b/>
        </w:rPr>
      </w:pPr>
      <w:r>
        <w:rPr>
          <w:b/>
        </w:rPr>
        <w:t xml:space="preserve">STUDENT SUPPORT:   </w:t>
      </w:r>
      <w:r w:rsidR="006C1227">
        <w:rPr>
          <w:b/>
        </w:rPr>
        <w:t>SUPPORTING EVIDENCE</w:t>
      </w:r>
    </w:p>
    <w:p w:rsidR="00AC0B80" w:rsidRDefault="00AC0B80" w:rsidP="003D7305"/>
    <w:p w:rsidR="006D4FE5" w:rsidRDefault="00A54D5E" w:rsidP="006D4FE5">
      <w:r>
        <w:t xml:space="preserve">“Student aid is widely used as a tool to promote higher education participation among individuals from disadvantaged groups. </w:t>
      </w:r>
      <w:r w:rsidR="00726C19">
        <w:t>.</w:t>
      </w:r>
      <w:r w:rsidR="00505A77">
        <w:t>..</w:t>
      </w:r>
      <w:r>
        <w:t xml:space="preserve"> However, there is a severe lack of evidence on the effectiveness of student aid outside of the US, and none at all for the UK.</w:t>
      </w:r>
      <w:r w:rsidR="003D7305">
        <w:t xml:space="preserve">”  </w:t>
      </w:r>
      <w:r>
        <w:t xml:space="preserve"> </w:t>
      </w:r>
      <w:r w:rsidR="003D7305">
        <w:t xml:space="preserve">  </w:t>
      </w:r>
    </w:p>
    <w:p w:rsidR="00A54D5E" w:rsidRPr="006D4FE5" w:rsidRDefault="003D7305" w:rsidP="006D4FE5">
      <w:pPr>
        <w:rPr>
          <w:i/>
        </w:rPr>
      </w:pPr>
      <w:r w:rsidRPr="006D4FE5">
        <w:rPr>
          <w:i/>
        </w:rPr>
        <w:t>(</w:t>
      </w:r>
      <w:r w:rsidR="00AC0B80" w:rsidRPr="006D4FE5">
        <w:rPr>
          <w:i/>
        </w:rPr>
        <w:t>Dearden, Fitzsimons and</w:t>
      </w:r>
      <w:r w:rsidRPr="006D4FE5">
        <w:rPr>
          <w:i/>
        </w:rPr>
        <w:t xml:space="preserve"> Wyness</w:t>
      </w:r>
      <w:r w:rsidR="00AC0B80" w:rsidRPr="006D4FE5">
        <w:rPr>
          <w:i/>
        </w:rPr>
        <w:t xml:space="preserve"> in 2014: research cited below)</w:t>
      </w:r>
    </w:p>
    <w:p w:rsidR="004346B7" w:rsidRDefault="004346B7" w:rsidP="00E4482D">
      <w:pPr>
        <w:rPr>
          <w:u w:val="single"/>
        </w:rPr>
      </w:pPr>
    </w:p>
    <w:p w:rsidR="00506213" w:rsidRPr="00506213" w:rsidRDefault="00506213" w:rsidP="00E4482D">
      <w:pPr>
        <w:rPr>
          <w:u w:val="single"/>
        </w:rPr>
      </w:pPr>
      <w:r>
        <w:rPr>
          <w:u w:val="single"/>
        </w:rPr>
        <w:t>The basis for a causal relationship between student funding and applications</w:t>
      </w:r>
    </w:p>
    <w:p w:rsidR="00E4482D" w:rsidRDefault="008D4CA0" w:rsidP="00E4482D">
      <w:r>
        <w:t>Asserting</w:t>
      </w:r>
      <w:r w:rsidR="007A42ED">
        <w:t xml:space="preserve"> a </w:t>
      </w:r>
      <w:r w:rsidR="00AB77F0">
        <w:t>causal link</w:t>
      </w:r>
      <w:r w:rsidR="00E4482D">
        <w:t xml:space="preserve"> between student funding and applications assume</w:t>
      </w:r>
      <w:r>
        <w:t>s</w:t>
      </w:r>
      <w:r w:rsidR="00E4482D">
        <w:t xml:space="preserve"> that </w:t>
      </w:r>
      <w:r>
        <w:t>in</w:t>
      </w:r>
      <w:r w:rsidR="00A63321">
        <w:t>dividual decisions</w:t>
      </w:r>
      <w:r w:rsidR="00AB77F0">
        <w:t xml:space="preserve"> about</w:t>
      </w:r>
      <w:r w:rsidR="00A63321">
        <w:t xml:space="preserve"> partic</w:t>
      </w:r>
      <w:r w:rsidR="00506213">
        <w:t>ipati</w:t>
      </w:r>
      <w:r>
        <w:t>on</w:t>
      </w:r>
      <w:r w:rsidR="007A42ED">
        <w:t xml:space="preserve"> are</w:t>
      </w:r>
      <w:r w:rsidR="00AB77F0">
        <w:t xml:space="preserve"> influenced by funding</w:t>
      </w:r>
      <w:r w:rsidR="00E4482D">
        <w:t xml:space="preserve">.  However, evidence </w:t>
      </w:r>
      <w:r w:rsidR="00AB77F0">
        <w:t xml:space="preserve">suggests that </w:t>
      </w:r>
      <w:r w:rsidR="00E4482D" w:rsidRPr="006577EA">
        <w:rPr>
          <w:b/>
        </w:rPr>
        <w:t xml:space="preserve">at the point </w:t>
      </w:r>
      <w:r w:rsidR="00AB77F0" w:rsidRPr="006577EA">
        <w:rPr>
          <w:b/>
        </w:rPr>
        <w:t xml:space="preserve">that </w:t>
      </w:r>
      <w:r w:rsidR="00C87DC6">
        <w:rPr>
          <w:b/>
        </w:rPr>
        <w:t>young people decide</w:t>
      </w:r>
      <w:r w:rsidR="00E4482D" w:rsidRPr="006577EA">
        <w:rPr>
          <w:b/>
        </w:rPr>
        <w:t xml:space="preserve"> whether to apply to HE they </w:t>
      </w:r>
      <w:r w:rsidR="007A42ED">
        <w:rPr>
          <w:b/>
        </w:rPr>
        <w:t>often</w:t>
      </w:r>
      <w:r w:rsidR="00E4482D" w:rsidRPr="006577EA">
        <w:rPr>
          <w:b/>
        </w:rPr>
        <w:t xml:space="preserve"> have a limited understanding of student </w:t>
      </w:r>
      <w:r w:rsidR="00AB77F0" w:rsidRPr="006577EA">
        <w:rPr>
          <w:b/>
        </w:rPr>
        <w:t>funding</w:t>
      </w:r>
      <w:r w:rsidR="00AB77F0">
        <w:t>. T</w:t>
      </w:r>
      <w:r w:rsidR="00E4482D">
        <w:t xml:space="preserve">he best recent evidence </w:t>
      </w:r>
      <w:r w:rsidR="00726C19">
        <w:t>here comes from</w:t>
      </w:r>
      <w:r w:rsidR="00E4482D">
        <w:t xml:space="preserve"> interviews conducted in 2013 by </w:t>
      </w:r>
      <w:hyperlink r:id="rId9" w:history="1">
        <w:r w:rsidR="00E4482D" w:rsidRPr="004346B7">
          <w:rPr>
            <w:rStyle w:val="Hyperlink"/>
          </w:rPr>
          <w:t>Sar</w:t>
        </w:r>
        <w:r w:rsidR="00506213" w:rsidRPr="004346B7">
          <w:rPr>
            <w:rStyle w:val="Hyperlink"/>
          </w:rPr>
          <w:t>a</w:t>
        </w:r>
        <w:r w:rsidR="004346B7">
          <w:rPr>
            <w:rStyle w:val="Hyperlink"/>
          </w:rPr>
          <w:t xml:space="preserve">h Minty </w:t>
        </w:r>
        <w:r w:rsidR="00E4482D" w:rsidRPr="004346B7">
          <w:rPr>
            <w:rStyle w:val="Hyperlink"/>
          </w:rPr>
          <w:t>of the University of Edinburgh</w:t>
        </w:r>
      </w:hyperlink>
      <w:r w:rsidR="00E4482D">
        <w:t xml:space="preserve">.  </w:t>
      </w:r>
      <w:r w:rsidR="005710ED">
        <w:t>It seems very likely that broad impressions are often as influential as detailed knowledge</w:t>
      </w:r>
      <w:r w:rsidR="006D4FE5">
        <w:t xml:space="preserve">; and these impressions may be </w:t>
      </w:r>
      <w:r w:rsidR="005710ED">
        <w:t>mis</w:t>
      </w:r>
      <w:r w:rsidR="006D4FE5">
        <w:t>taken</w:t>
      </w:r>
      <w:r w:rsidR="005710ED">
        <w:t xml:space="preserve">.  </w:t>
      </w:r>
      <w:r w:rsidR="007A42ED">
        <w:t xml:space="preserve">For example, </w:t>
      </w:r>
      <w:r w:rsidR="005710ED">
        <w:t>Minty’s Scottish interviewees consistently reported that they did not expect to have to borrow to fund their studies: yet 70% of all Scottish</w:t>
      </w:r>
      <w:r w:rsidR="00BA3572">
        <w:t>-domiciled</w:t>
      </w:r>
      <w:r w:rsidR="005710ED">
        <w:t xml:space="preserve"> students take out a loan in practice, rising to almost 80% at the lowest incomes.</w:t>
      </w:r>
    </w:p>
    <w:p w:rsidR="00AB77F0" w:rsidRDefault="00E4482D" w:rsidP="00E4482D">
      <w:r>
        <w:t xml:space="preserve">Further, </w:t>
      </w:r>
      <w:r w:rsidRPr="006577EA">
        <w:rPr>
          <w:b/>
        </w:rPr>
        <w:t>young people</w:t>
      </w:r>
      <w:r w:rsidR="00BA3572">
        <w:rPr>
          <w:b/>
        </w:rPr>
        <w:t xml:space="preserve">’s hypotheses about what is </w:t>
      </w:r>
      <w:r w:rsidRPr="006577EA">
        <w:rPr>
          <w:b/>
        </w:rPr>
        <w:t xml:space="preserve">likely to influence them </w:t>
      </w:r>
      <w:r w:rsidR="00726C19">
        <w:rPr>
          <w:b/>
        </w:rPr>
        <w:t>is not at first sight</w:t>
      </w:r>
      <w:r w:rsidR="008D4CA0" w:rsidRPr="006577EA">
        <w:rPr>
          <w:b/>
        </w:rPr>
        <w:t xml:space="preserve"> reflected in actual behaviour</w:t>
      </w:r>
      <w:r>
        <w:t xml:space="preserve">.  Thus, </w:t>
      </w:r>
      <w:r w:rsidR="00AB77F0">
        <w:t>young people from more disadvantaged backgrounds</w:t>
      </w:r>
      <w:r w:rsidR="00F85E73">
        <w:t xml:space="preserve"> considering </w:t>
      </w:r>
      <w:r w:rsidR="00AB77F0">
        <w:t>higher education</w:t>
      </w:r>
      <w:r>
        <w:t xml:space="preserve"> </w:t>
      </w:r>
      <w:r w:rsidR="00F85E73">
        <w:t xml:space="preserve">or already in it </w:t>
      </w:r>
      <w:r w:rsidR="00506213">
        <w:t xml:space="preserve">persistently </w:t>
      </w:r>
      <w:r>
        <w:t xml:space="preserve">report </w:t>
      </w:r>
      <w:r w:rsidR="00BA066B">
        <w:t xml:space="preserve">to researchers </w:t>
      </w:r>
      <w:r>
        <w:t xml:space="preserve">that </w:t>
      </w:r>
      <w:r w:rsidR="00F85E73">
        <w:t>higher</w:t>
      </w:r>
      <w:r>
        <w:t xml:space="preserve"> debt w</w:t>
      </w:r>
      <w:r w:rsidR="00AB77F0">
        <w:t>ould</w:t>
      </w:r>
      <w:r>
        <w:t xml:space="preserve"> reduce</w:t>
      </w:r>
      <w:r w:rsidR="008D4CA0">
        <w:t xml:space="preserve"> their</w:t>
      </w:r>
      <w:r>
        <w:t xml:space="preserve"> willingness to participate.  However,</w:t>
      </w:r>
      <w:r w:rsidR="00AB77F0">
        <w:t xml:space="preserve"> </w:t>
      </w:r>
      <w:r>
        <w:t xml:space="preserve">applications from </w:t>
      </w:r>
      <w:r w:rsidR="00AB77F0">
        <w:t>this group</w:t>
      </w:r>
      <w:r>
        <w:t xml:space="preserve"> have grown </w:t>
      </w:r>
      <w:r w:rsidR="006D4FE5">
        <w:t>at least as fast as for other groups</w:t>
      </w:r>
      <w:r>
        <w:t xml:space="preserve"> even as debt as risen</w:t>
      </w:r>
      <w:r w:rsidR="006577EA">
        <w:t xml:space="preserve"> in all parts of the UK</w:t>
      </w:r>
      <w:r w:rsidR="009D13B5">
        <w:t xml:space="preserve"> over the past two decades</w:t>
      </w:r>
      <w:r>
        <w:t>.</w:t>
      </w:r>
      <w:r w:rsidR="008D4CA0">
        <w:t xml:space="preserve">  </w:t>
      </w:r>
      <w:r w:rsidR="00506213">
        <w:t>T</w:t>
      </w:r>
      <w:r w:rsidR="008D4CA0">
        <w:t>his article from 2008 (</w:t>
      </w:r>
      <w:hyperlink r:id="rId10" w:history="1">
        <w:r w:rsidR="008D4CA0" w:rsidRPr="00A50A55">
          <w:rPr>
            <w:rStyle w:val="Hyperlink"/>
          </w:rPr>
          <w:t>https://www.tes.co.uk/article.aspx?storycode=387873</w:t>
        </w:r>
      </w:hyperlink>
      <w:r w:rsidR="00506213">
        <w:t xml:space="preserve">) </w:t>
      </w:r>
      <w:r w:rsidR="00AB77F0">
        <w:t>shows</w:t>
      </w:r>
      <w:r w:rsidR="00E1067E">
        <w:t xml:space="preserve"> </w:t>
      </w:r>
      <w:r w:rsidR="00BA066B">
        <w:t xml:space="preserve">this difference between hypothetical </w:t>
      </w:r>
      <w:r w:rsidR="007A42ED">
        <w:t xml:space="preserve">responses </w:t>
      </w:r>
      <w:r w:rsidR="00BA066B">
        <w:t xml:space="preserve">and actual </w:t>
      </w:r>
      <w:r w:rsidR="007A42ED">
        <w:t xml:space="preserve">behaviour </w:t>
      </w:r>
      <w:r w:rsidR="00BA066B">
        <w:t>is replicated in other countries</w:t>
      </w:r>
      <w:r w:rsidR="00AB77F0">
        <w:t>.</w:t>
      </w:r>
      <w:r w:rsidR="007A0DD2">
        <w:t xml:space="preserve"> </w:t>
      </w:r>
    </w:p>
    <w:p w:rsidR="00B25610" w:rsidRPr="00B25610" w:rsidRDefault="00B25610" w:rsidP="00E4482D">
      <w:pPr>
        <w:rPr>
          <w:u w:val="single"/>
        </w:rPr>
      </w:pPr>
      <w:r w:rsidRPr="00B25610">
        <w:rPr>
          <w:u w:val="single"/>
        </w:rPr>
        <w:t>UK Comparisons</w:t>
      </w:r>
    </w:p>
    <w:p w:rsidR="007B1DBD" w:rsidRDefault="007A42ED" w:rsidP="00E4482D">
      <w:r>
        <w:t>Student</w:t>
      </w:r>
      <w:r w:rsidR="007B1DBD">
        <w:t xml:space="preserve"> funding policies</w:t>
      </w:r>
      <w:r>
        <w:t xml:space="preserve"> </w:t>
      </w:r>
      <w:r w:rsidR="009B6995">
        <w:t>have developed distinctively in each of the four UK nations over the past decade</w:t>
      </w:r>
      <w:r w:rsidR="00E4482D">
        <w:t xml:space="preserve">.  </w:t>
      </w:r>
      <w:r>
        <w:t xml:space="preserve">There is a lack of systematic research comparing differences in funding and access across the UK.  However, </w:t>
      </w:r>
      <w:r w:rsidRPr="007A42ED">
        <w:rPr>
          <w:b/>
        </w:rPr>
        <w:t>at first sight it</w:t>
      </w:r>
      <w:r w:rsidR="00E4482D" w:rsidRPr="006577EA">
        <w:rPr>
          <w:b/>
        </w:rPr>
        <w:t xml:space="preserve"> is very hard to discern any </w:t>
      </w:r>
      <w:r w:rsidR="00B25610" w:rsidRPr="006577EA">
        <w:rPr>
          <w:b/>
        </w:rPr>
        <w:t>differences</w:t>
      </w:r>
      <w:r w:rsidR="00E4482D" w:rsidRPr="006577EA">
        <w:rPr>
          <w:b/>
        </w:rPr>
        <w:t xml:space="preserve"> </w:t>
      </w:r>
      <w:r w:rsidR="009B6995" w:rsidRPr="006577EA">
        <w:rPr>
          <w:b/>
        </w:rPr>
        <w:t xml:space="preserve">between countries </w:t>
      </w:r>
      <w:r w:rsidR="00E4482D" w:rsidRPr="006577EA">
        <w:rPr>
          <w:b/>
        </w:rPr>
        <w:t xml:space="preserve">which can be </w:t>
      </w:r>
      <w:r w:rsidR="009B6995" w:rsidRPr="006577EA">
        <w:rPr>
          <w:b/>
        </w:rPr>
        <w:t xml:space="preserve">clearly </w:t>
      </w:r>
      <w:r w:rsidR="00E4482D" w:rsidRPr="006577EA">
        <w:rPr>
          <w:b/>
        </w:rPr>
        <w:t xml:space="preserve">matched to </w:t>
      </w:r>
      <w:r w:rsidR="007B1DBD" w:rsidRPr="006577EA">
        <w:rPr>
          <w:b/>
        </w:rPr>
        <w:t xml:space="preserve">differences in </w:t>
      </w:r>
      <w:r w:rsidR="00E4482D" w:rsidRPr="006577EA">
        <w:rPr>
          <w:b/>
        </w:rPr>
        <w:t>student funding</w:t>
      </w:r>
      <w:r w:rsidR="00E4482D">
        <w:t xml:space="preserve">. </w:t>
      </w:r>
      <w:r w:rsidR="00B25610">
        <w:t xml:space="preserve"> </w:t>
      </w:r>
      <w:r w:rsidR="007B1DBD">
        <w:t xml:space="preserve">It is likely that other factors, such as </w:t>
      </w:r>
      <w:r w:rsidR="009B6995">
        <w:t>the state of the wider economy</w:t>
      </w:r>
      <w:r w:rsidR="007B1DBD">
        <w:t>,</w:t>
      </w:r>
      <w:r w:rsidR="00C87DC6">
        <w:t xml:space="preserve"> improving</w:t>
      </w:r>
      <w:r w:rsidR="007B1DBD">
        <w:t xml:space="preserve"> exam results and other access </w:t>
      </w:r>
      <w:r w:rsidR="006577EA">
        <w:t xml:space="preserve">initiatives </w:t>
      </w:r>
      <w:r w:rsidR="007B1DBD">
        <w:t xml:space="preserve">have </w:t>
      </w:r>
      <w:r w:rsidR="00383512">
        <w:t xml:space="preserve">had </w:t>
      </w:r>
      <w:r w:rsidR="007B1DBD">
        <w:t>more effect</w:t>
      </w:r>
      <w:r w:rsidR="007B1DBD" w:rsidRPr="006577EA">
        <w:rPr>
          <w:i/>
        </w:rPr>
        <w:t xml:space="preserve">.  </w:t>
      </w:r>
    </w:p>
    <w:p w:rsidR="002A4143" w:rsidRDefault="00E4482D" w:rsidP="00E4482D">
      <w:r>
        <w:t>T</w:t>
      </w:r>
      <w:r w:rsidR="007B1DBD">
        <w:t xml:space="preserve">here is, nonetheless, </w:t>
      </w:r>
      <w:r>
        <w:t xml:space="preserve">a strong tendency </w:t>
      </w:r>
      <w:r w:rsidR="006577EA">
        <w:t xml:space="preserve">by governments everywhere </w:t>
      </w:r>
      <w:r>
        <w:t xml:space="preserve">to cherry-pick data to </w:t>
      </w:r>
      <w:r w:rsidR="009B6995">
        <w:t xml:space="preserve">“prove” </w:t>
      </w:r>
      <w:r>
        <w:t xml:space="preserve">causal links between </w:t>
      </w:r>
      <w:r w:rsidR="004346B7">
        <w:t>student</w:t>
      </w:r>
      <w:r>
        <w:t xml:space="preserve"> beh</w:t>
      </w:r>
      <w:r w:rsidR="00C21217">
        <w:t>av</w:t>
      </w:r>
      <w:r>
        <w:t xml:space="preserve">iour and </w:t>
      </w:r>
      <w:r w:rsidR="00C21217">
        <w:t>particula</w:t>
      </w:r>
      <w:r w:rsidR="00A63321">
        <w:t>r policies</w:t>
      </w:r>
      <w:r>
        <w:t>.</w:t>
      </w:r>
      <w:r w:rsidR="007B1DBD">
        <w:t xml:space="preserve"> </w:t>
      </w:r>
      <w:r>
        <w:t xml:space="preserve">For example, the Scottish Government has </w:t>
      </w:r>
      <w:r w:rsidR="0063308B">
        <w:t xml:space="preserve">in the past </w:t>
      </w:r>
      <w:r w:rsidR="007B1DBD">
        <w:t>cited</w:t>
      </w:r>
      <w:r>
        <w:t xml:space="preserve"> the fact that </w:t>
      </w:r>
      <w:r w:rsidR="006577EA">
        <w:rPr>
          <w:i/>
        </w:rPr>
        <w:t xml:space="preserve">the absolute number </w:t>
      </w:r>
      <w:r w:rsidR="006577EA" w:rsidRPr="006577EA">
        <w:t>of</w:t>
      </w:r>
      <w:r w:rsidRPr="006577EA">
        <w:t xml:space="preserve"> </w:t>
      </w:r>
      <w:r>
        <w:t>applications in England</w:t>
      </w:r>
      <w:r w:rsidR="002A4143">
        <w:t xml:space="preserve"> </w:t>
      </w:r>
      <w:r w:rsidR="002A4143">
        <w:lastRenderedPageBreak/>
        <w:t xml:space="preserve">through UCAS </w:t>
      </w:r>
      <w:r>
        <w:t>fell sharply in 2012</w:t>
      </w:r>
      <w:r w:rsidR="006577EA">
        <w:t xml:space="preserve">, while </w:t>
      </w:r>
      <w:r w:rsidR="00C87DC6">
        <w:t>it</w:t>
      </w:r>
      <w:r w:rsidR="006577EA">
        <w:t xml:space="preserve"> rose in Scotland, </w:t>
      </w:r>
      <w:r w:rsidR="00A63321">
        <w:t>as evidence that free tuition supports access</w:t>
      </w:r>
      <w:r>
        <w:t xml:space="preserve">.  </w:t>
      </w:r>
    </w:p>
    <w:p w:rsidR="006577EA" w:rsidRDefault="009D13B5" w:rsidP="00E4482D">
      <w:r>
        <w:t>By contrast, t</w:t>
      </w:r>
      <w:r w:rsidR="00F85E73">
        <w:t>he table below looks</w:t>
      </w:r>
      <w:r w:rsidR="00112284">
        <w:t xml:space="preserve"> </w:t>
      </w:r>
      <w:r w:rsidR="00112284" w:rsidRPr="006577EA">
        <w:rPr>
          <w:i/>
        </w:rPr>
        <w:t xml:space="preserve">over a </w:t>
      </w:r>
      <w:r w:rsidR="00BA066B">
        <w:rPr>
          <w:i/>
        </w:rPr>
        <w:t>number of years</w:t>
      </w:r>
      <w:r w:rsidR="00112284">
        <w:t xml:space="preserve"> (</w:t>
      </w:r>
      <w:r w:rsidR="00F85E73">
        <w:t xml:space="preserve">using </w:t>
      </w:r>
      <w:r w:rsidR="002B7E3E">
        <w:t>the most recent UCAS figures</w:t>
      </w:r>
      <w:r w:rsidR="00BA066B">
        <w:t xml:space="preserve">, </w:t>
      </w:r>
      <w:r w:rsidR="002B7E3E">
        <w:t xml:space="preserve"> cover</w:t>
      </w:r>
      <w:r w:rsidR="00BA066B">
        <w:t xml:space="preserve">ing </w:t>
      </w:r>
      <w:r w:rsidR="00112284">
        <w:t>the decade up to 2015</w:t>
      </w:r>
      <w:r w:rsidR="00C21217">
        <w:t>)</w:t>
      </w:r>
      <w:r w:rsidR="006577EA">
        <w:t>,</w:t>
      </w:r>
      <w:r w:rsidR="00C21217">
        <w:t xml:space="preserve"> specif</w:t>
      </w:r>
      <w:r w:rsidR="00112284">
        <w:t xml:space="preserve">ically </w:t>
      </w:r>
      <w:r w:rsidR="00112284" w:rsidRPr="006577EA">
        <w:rPr>
          <w:i/>
        </w:rPr>
        <w:t>at</w:t>
      </w:r>
      <w:r w:rsidR="00C21217" w:rsidRPr="006577EA">
        <w:rPr>
          <w:i/>
        </w:rPr>
        <w:t xml:space="preserve"> young students from disadvanta</w:t>
      </w:r>
      <w:r w:rsidR="00112284" w:rsidRPr="006577EA">
        <w:rPr>
          <w:i/>
        </w:rPr>
        <w:t>g</w:t>
      </w:r>
      <w:r w:rsidR="00C21217" w:rsidRPr="006577EA">
        <w:rPr>
          <w:i/>
        </w:rPr>
        <w:t>e</w:t>
      </w:r>
      <w:r w:rsidR="00112284" w:rsidRPr="006577EA">
        <w:rPr>
          <w:i/>
        </w:rPr>
        <w:t>d backgrounds</w:t>
      </w:r>
      <w:r w:rsidR="00112284">
        <w:t xml:space="preserve"> (using</w:t>
      </w:r>
      <w:r w:rsidR="00E4482D">
        <w:t xml:space="preserve"> POLAR</w:t>
      </w:r>
      <w:r w:rsidR="00B25610">
        <w:t>3</w:t>
      </w:r>
      <w:r w:rsidR="00E4482D">
        <w:t xml:space="preserve"> Q1</w:t>
      </w:r>
      <w:r w:rsidR="00112284">
        <w:t xml:space="preserve">, </w:t>
      </w:r>
      <w:r w:rsidR="00F35852">
        <w:t>UCAS’</w:t>
      </w:r>
      <w:r w:rsidR="00E4482D">
        <w:t xml:space="preserve"> </w:t>
      </w:r>
      <w:r w:rsidR="002B7E3E">
        <w:t>measure of disadvantage</w:t>
      </w:r>
      <w:r w:rsidR="00F35852">
        <w:t xml:space="preserve"> for this purpose</w:t>
      </w:r>
      <w:r w:rsidR="002B7E3E">
        <w:t xml:space="preserve">), </w:t>
      </w:r>
      <w:r w:rsidR="006577EA">
        <w:t>and tak</w:t>
      </w:r>
      <w:r w:rsidR="00F85E73">
        <w:t>es</w:t>
      </w:r>
      <w:r w:rsidR="006577EA">
        <w:t xml:space="preserve">  into account </w:t>
      </w:r>
      <w:r w:rsidR="006577EA" w:rsidRPr="006577EA">
        <w:rPr>
          <w:i/>
        </w:rPr>
        <w:t>differential demographic change</w:t>
      </w:r>
      <w:r w:rsidR="00C87DC6">
        <w:rPr>
          <w:i/>
        </w:rPr>
        <w:t xml:space="preserve"> in each part of the UK</w:t>
      </w:r>
      <w:r w:rsidR="006577EA">
        <w:t xml:space="preserve"> by looking at </w:t>
      </w:r>
      <w:r w:rsidR="00112284" w:rsidRPr="00F85E73">
        <w:t xml:space="preserve">application </w:t>
      </w:r>
      <w:r w:rsidR="00112284" w:rsidRPr="00F85E73">
        <w:rPr>
          <w:i/>
        </w:rPr>
        <w:t>rates</w:t>
      </w:r>
      <w:r w:rsidR="00F85E73">
        <w:rPr>
          <w:b/>
        </w:rPr>
        <w:t xml:space="preserve"> </w:t>
      </w:r>
      <w:r w:rsidR="00F85E73" w:rsidRPr="00F85E73">
        <w:t>rather than absolute numbers</w:t>
      </w:r>
      <w:r w:rsidR="00F85E73">
        <w:t xml:space="preserve">. </w:t>
      </w:r>
      <w:r w:rsidR="00F85E73">
        <w:rPr>
          <w:i/>
        </w:rPr>
        <w:t xml:space="preserve"> </w:t>
      </w:r>
      <w:r w:rsidR="0063308B">
        <w:t xml:space="preserve">On this assessment, </w:t>
      </w:r>
      <w:r w:rsidR="006577EA" w:rsidRPr="006577EA">
        <w:rPr>
          <w:b/>
        </w:rPr>
        <w:t>the greatest growth</w:t>
      </w:r>
      <w:r w:rsidR="00BA066B">
        <w:rPr>
          <w:b/>
        </w:rPr>
        <w:t xml:space="preserve"> </w:t>
      </w:r>
      <w:r w:rsidR="00BA3572">
        <w:rPr>
          <w:b/>
        </w:rPr>
        <w:t xml:space="preserve">in young applicants from disadvantaged backgrounds </w:t>
      </w:r>
      <w:r w:rsidR="00BA066B">
        <w:rPr>
          <w:b/>
        </w:rPr>
        <w:t>has been</w:t>
      </w:r>
      <w:r w:rsidR="006577EA" w:rsidRPr="006577EA">
        <w:rPr>
          <w:b/>
        </w:rPr>
        <w:t xml:space="preserve"> </w:t>
      </w:r>
      <w:r w:rsidR="00E4482D" w:rsidRPr="006577EA">
        <w:rPr>
          <w:b/>
        </w:rPr>
        <w:t>in England</w:t>
      </w:r>
      <w:r w:rsidR="009B6995" w:rsidRPr="006577EA">
        <w:rPr>
          <w:b/>
        </w:rPr>
        <w:t>, followed by</w:t>
      </w:r>
      <w:r w:rsidR="00E4482D" w:rsidRPr="006577EA">
        <w:rPr>
          <w:b/>
        </w:rPr>
        <w:t xml:space="preserve"> Scotland</w:t>
      </w:r>
      <w:r w:rsidR="009B6995">
        <w:t xml:space="preserve">. </w:t>
      </w:r>
      <w:r w:rsidR="00F85E73">
        <w:t xml:space="preserve"> Looking o</w:t>
      </w:r>
      <w:r w:rsidR="009B6995">
        <w:t>ver</w:t>
      </w:r>
      <w:r w:rsidR="00F85E73">
        <w:t xml:space="preserve"> the past</w:t>
      </w:r>
      <w:r w:rsidR="009B6995">
        <w:t xml:space="preserve"> 5 years,</w:t>
      </w:r>
      <w:r w:rsidR="00B25610">
        <w:t xml:space="preserve"> the pattern is different again</w:t>
      </w:r>
      <w:r w:rsidR="009B6995">
        <w:t>, with Wales</w:t>
      </w:r>
      <w:r w:rsidR="0063308B">
        <w:t xml:space="preserve"> (lower fees, higher grants than England)</w:t>
      </w:r>
      <w:r w:rsidR="009B6995">
        <w:t xml:space="preserve"> increasing the most, followed by England and then Scotland, but all three very close</w:t>
      </w:r>
      <w:r w:rsidR="00B25610">
        <w:t>.</w:t>
      </w:r>
      <w:r w:rsidR="009B6995">
        <w:t xml:space="preserve">  </w:t>
      </w:r>
    </w:p>
    <w:p w:rsidR="00BA066B" w:rsidRPr="00BA066B" w:rsidRDefault="00BA066B" w:rsidP="00E4482D">
      <w:pPr>
        <w:rPr>
          <w:u w:val="single"/>
        </w:rPr>
      </w:pPr>
      <w:r w:rsidRPr="00BA066B">
        <w:rPr>
          <w:u w:val="single"/>
        </w:rPr>
        <w:t>Application rates: POLAR3 Q1</w:t>
      </w:r>
    </w:p>
    <w:tbl>
      <w:tblPr>
        <w:tblW w:w="9671" w:type="dxa"/>
        <w:tblInd w:w="93" w:type="dxa"/>
        <w:tblLook w:val="04A0" w:firstRow="1" w:lastRow="0" w:firstColumn="1" w:lastColumn="0" w:noHBand="0" w:noVBand="1"/>
      </w:tblPr>
      <w:tblGrid>
        <w:gridCol w:w="1149"/>
        <w:gridCol w:w="851"/>
        <w:gridCol w:w="714"/>
        <w:gridCol w:w="714"/>
        <w:gridCol w:w="714"/>
        <w:gridCol w:w="714"/>
        <w:gridCol w:w="829"/>
        <w:gridCol w:w="714"/>
        <w:gridCol w:w="714"/>
        <w:gridCol w:w="714"/>
        <w:gridCol w:w="714"/>
        <w:gridCol w:w="565"/>
        <w:gridCol w:w="565"/>
      </w:tblGrid>
      <w:tr w:rsidR="00B25610" w:rsidRPr="00B25610" w:rsidTr="002A4143">
        <w:trPr>
          <w:trHeight w:val="315"/>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rPr>
                <w:rFonts w:eastAsia="Times New Roman"/>
                <w:color w:val="000000"/>
                <w:sz w:val="20"/>
                <w:szCs w:val="20"/>
                <w:lang w:eastAsia="en-GB"/>
              </w:rPr>
            </w:pPr>
            <w:r w:rsidRPr="00B25610">
              <w:rPr>
                <w:rFonts w:eastAsia="Times New Roman"/>
                <w:color w:val="000000"/>
                <w:sz w:val="20"/>
                <w:szCs w:val="20"/>
                <w:lang w:eastAsia="en-GB"/>
              </w:rPr>
              <w:t>POLAR3 Q1</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2006</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2007</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2008</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2009</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2010</w:t>
            </w:r>
          </w:p>
        </w:tc>
        <w:tc>
          <w:tcPr>
            <w:tcW w:w="829"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2011</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2012</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2013</w:t>
            </w:r>
          </w:p>
        </w:tc>
        <w:tc>
          <w:tcPr>
            <w:tcW w:w="714" w:type="dxa"/>
            <w:tcBorders>
              <w:top w:val="single" w:sz="4" w:space="0" w:color="auto"/>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2014</w:t>
            </w:r>
          </w:p>
        </w:tc>
        <w:tc>
          <w:tcPr>
            <w:tcW w:w="714" w:type="dxa"/>
            <w:tcBorders>
              <w:top w:val="single" w:sz="4" w:space="0" w:color="auto"/>
              <w:left w:val="nil"/>
              <w:bottom w:val="single" w:sz="4" w:space="0" w:color="auto"/>
              <w:right w:val="nil"/>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2015</w:t>
            </w:r>
          </w:p>
        </w:tc>
        <w:tc>
          <w:tcPr>
            <w:tcW w:w="56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B25610" w:rsidRPr="00B25610" w:rsidRDefault="00B25610" w:rsidP="00B25610">
            <w:pPr>
              <w:spacing w:after="0" w:line="240" w:lineRule="auto"/>
              <w:rPr>
                <w:rFonts w:eastAsia="Times New Roman"/>
                <w:b/>
                <w:i/>
                <w:iCs/>
                <w:color w:val="000000"/>
                <w:sz w:val="20"/>
                <w:szCs w:val="20"/>
                <w:lang w:eastAsia="en-GB"/>
              </w:rPr>
            </w:pPr>
            <w:r w:rsidRPr="00B25610">
              <w:rPr>
                <w:rFonts w:eastAsia="Times New Roman"/>
                <w:b/>
                <w:i/>
                <w:iCs/>
                <w:color w:val="000000"/>
                <w:sz w:val="20"/>
                <w:szCs w:val="20"/>
                <w:lang w:eastAsia="en-GB"/>
              </w:rPr>
              <w:t xml:space="preserve">5yr </w:t>
            </w:r>
          </w:p>
        </w:tc>
        <w:tc>
          <w:tcPr>
            <w:tcW w:w="565" w:type="dxa"/>
            <w:tcBorders>
              <w:top w:val="single" w:sz="8" w:space="0" w:color="auto"/>
              <w:left w:val="nil"/>
              <w:bottom w:val="single" w:sz="8" w:space="0" w:color="auto"/>
              <w:right w:val="single" w:sz="8" w:space="0" w:color="auto"/>
            </w:tcBorders>
            <w:shd w:val="clear" w:color="auto" w:fill="auto"/>
            <w:noWrap/>
            <w:vAlign w:val="bottom"/>
            <w:hideMark/>
          </w:tcPr>
          <w:p w:rsidR="00B25610" w:rsidRPr="00B25610" w:rsidRDefault="00B25610" w:rsidP="00B25610">
            <w:pPr>
              <w:spacing w:after="0" w:line="240" w:lineRule="auto"/>
              <w:rPr>
                <w:rFonts w:eastAsia="Times New Roman"/>
                <w:b/>
                <w:bCs/>
                <w:i/>
                <w:color w:val="000000"/>
                <w:sz w:val="20"/>
                <w:szCs w:val="20"/>
                <w:lang w:eastAsia="en-GB"/>
              </w:rPr>
            </w:pPr>
            <w:r w:rsidRPr="00B25610">
              <w:rPr>
                <w:rFonts w:eastAsia="Times New Roman"/>
                <w:b/>
                <w:bCs/>
                <w:i/>
                <w:color w:val="000000"/>
                <w:sz w:val="20"/>
                <w:szCs w:val="20"/>
                <w:lang w:eastAsia="en-GB"/>
              </w:rPr>
              <w:t>9-yr</w:t>
            </w:r>
          </w:p>
        </w:tc>
      </w:tr>
      <w:tr w:rsidR="00B25610" w:rsidRPr="00B25610" w:rsidTr="002A4143">
        <w:trPr>
          <w:trHeight w:val="300"/>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rPr>
                <w:rFonts w:eastAsia="Times New Roman"/>
                <w:color w:val="000000"/>
                <w:sz w:val="20"/>
                <w:szCs w:val="20"/>
                <w:lang w:eastAsia="en-GB"/>
              </w:rPr>
            </w:pPr>
            <w:r w:rsidRPr="00B25610">
              <w:rPr>
                <w:rFonts w:eastAsia="Times New Roman"/>
                <w:color w:val="000000"/>
                <w:sz w:val="20"/>
                <w:szCs w:val="20"/>
                <w:lang w:eastAsia="en-GB"/>
              </w:rPr>
              <w:t>England</w:t>
            </w:r>
          </w:p>
        </w:tc>
        <w:tc>
          <w:tcPr>
            <w:tcW w:w="851"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12.2%</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13.0%</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14.0%</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15.2%</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18.0%</w:t>
            </w:r>
          </w:p>
        </w:tc>
        <w:tc>
          <w:tcPr>
            <w:tcW w:w="829"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17.9%</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18.9%</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20.4%</w:t>
            </w:r>
          </w:p>
        </w:tc>
        <w:tc>
          <w:tcPr>
            <w:tcW w:w="714" w:type="dxa"/>
            <w:tcBorders>
              <w:top w:val="nil"/>
              <w:left w:val="nil"/>
              <w:bottom w:val="single" w:sz="4" w:space="0" w:color="auto"/>
              <w:right w:val="nil"/>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21.0%</w:t>
            </w:r>
          </w:p>
        </w:tc>
        <w:tc>
          <w:tcPr>
            <w:tcW w:w="565" w:type="dxa"/>
            <w:tcBorders>
              <w:top w:val="nil"/>
              <w:left w:val="single" w:sz="8" w:space="0" w:color="auto"/>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i/>
                <w:iCs/>
                <w:color w:val="000000"/>
                <w:sz w:val="20"/>
                <w:szCs w:val="20"/>
                <w:lang w:eastAsia="en-GB"/>
              </w:rPr>
            </w:pPr>
            <w:r w:rsidRPr="00B25610">
              <w:rPr>
                <w:rFonts w:eastAsia="Times New Roman"/>
                <w:b/>
                <w:i/>
                <w:iCs/>
                <w:color w:val="000000"/>
                <w:sz w:val="20"/>
                <w:szCs w:val="20"/>
                <w:lang w:eastAsia="en-GB"/>
              </w:rPr>
              <w:t>17%</w:t>
            </w:r>
          </w:p>
        </w:tc>
        <w:tc>
          <w:tcPr>
            <w:tcW w:w="565" w:type="dxa"/>
            <w:tcBorders>
              <w:top w:val="nil"/>
              <w:left w:val="nil"/>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bCs/>
                <w:i/>
                <w:color w:val="000000"/>
                <w:sz w:val="20"/>
                <w:szCs w:val="20"/>
                <w:lang w:eastAsia="en-GB"/>
              </w:rPr>
            </w:pPr>
            <w:r w:rsidRPr="00B25610">
              <w:rPr>
                <w:rFonts w:eastAsia="Times New Roman"/>
                <w:b/>
                <w:bCs/>
                <w:i/>
                <w:color w:val="000000"/>
                <w:sz w:val="20"/>
                <w:szCs w:val="20"/>
                <w:lang w:eastAsia="en-GB"/>
              </w:rPr>
              <w:t>72%</w:t>
            </w:r>
          </w:p>
        </w:tc>
      </w:tr>
      <w:tr w:rsidR="00B25610" w:rsidRPr="00B25610" w:rsidTr="002A4143">
        <w:trPr>
          <w:trHeight w:val="300"/>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rPr>
                <w:rFonts w:eastAsia="Times New Roman"/>
                <w:color w:val="000000"/>
                <w:sz w:val="20"/>
                <w:szCs w:val="20"/>
                <w:lang w:eastAsia="en-GB"/>
              </w:rPr>
            </w:pPr>
            <w:r w:rsidRPr="00B25610">
              <w:rPr>
                <w:rFonts w:eastAsia="Times New Roman"/>
                <w:color w:val="000000"/>
                <w:sz w:val="20"/>
                <w:szCs w:val="20"/>
                <w:lang w:eastAsia="en-GB"/>
              </w:rPr>
              <w:t>Northern Ireland</w:t>
            </w:r>
          </w:p>
        </w:tc>
        <w:tc>
          <w:tcPr>
            <w:tcW w:w="851"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18.7%</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17.4%</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16.9%</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17.8%</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23.6%</w:t>
            </w:r>
          </w:p>
        </w:tc>
        <w:tc>
          <w:tcPr>
            <w:tcW w:w="829"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22.0%</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22.6%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23.2%</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23.3%</w:t>
            </w:r>
          </w:p>
        </w:tc>
        <w:tc>
          <w:tcPr>
            <w:tcW w:w="714" w:type="dxa"/>
            <w:tcBorders>
              <w:top w:val="nil"/>
              <w:left w:val="nil"/>
              <w:bottom w:val="single" w:sz="4" w:space="0" w:color="auto"/>
              <w:right w:val="nil"/>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25.4%</w:t>
            </w:r>
          </w:p>
        </w:tc>
        <w:tc>
          <w:tcPr>
            <w:tcW w:w="565" w:type="dxa"/>
            <w:tcBorders>
              <w:top w:val="nil"/>
              <w:left w:val="single" w:sz="8" w:space="0" w:color="auto"/>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i/>
                <w:iCs/>
                <w:color w:val="000000"/>
                <w:sz w:val="20"/>
                <w:szCs w:val="20"/>
                <w:lang w:eastAsia="en-GB"/>
              </w:rPr>
            </w:pPr>
            <w:r w:rsidRPr="00B25610">
              <w:rPr>
                <w:rFonts w:eastAsia="Times New Roman"/>
                <w:b/>
                <w:i/>
                <w:iCs/>
                <w:color w:val="000000"/>
                <w:sz w:val="20"/>
                <w:szCs w:val="20"/>
                <w:lang w:eastAsia="en-GB"/>
              </w:rPr>
              <w:t>8%</w:t>
            </w:r>
          </w:p>
        </w:tc>
        <w:tc>
          <w:tcPr>
            <w:tcW w:w="565" w:type="dxa"/>
            <w:tcBorders>
              <w:top w:val="nil"/>
              <w:left w:val="nil"/>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bCs/>
                <w:i/>
                <w:color w:val="000000"/>
                <w:sz w:val="20"/>
                <w:szCs w:val="20"/>
                <w:lang w:eastAsia="en-GB"/>
              </w:rPr>
            </w:pPr>
            <w:r w:rsidRPr="00B25610">
              <w:rPr>
                <w:rFonts w:eastAsia="Times New Roman"/>
                <w:b/>
                <w:bCs/>
                <w:i/>
                <w:color w:val="000000"/>
                <w:sz w:val="20"/>
                <w:szCs w:val="20"/>
                <w:lang w:eastAsia="en-GB"/>
              </w:rPr>
              <w:t>36%</w:t>
            </w:r>
          </w:p>
        </w:tc>
      </w:tr>
      <w:tr w:rsidR="00B25610" w:rsidRPr="00B25610" w:rsidTr="002A4143">
        <w:trPr>
          <w:trHeight w:val="300"/>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rPr>
                <w:rFonts w:eastAsia="Times New Roman"/>
                <w:color w:val="000000"/>
                <w:sz w:val="20"/>
                <w:szCs w:val="20"/>
                <w:lang w:eastAsia="en-GB"/>
              </w:rPr>
            </w:pPr>
            <w:r w:rsidRPr="00B25610">
              <w:rPr>
                <w:rFonts w:eastAsia="Times New Roman"/>
                <w:color w:val="000000"/>
                <w:sz w:val="20"/>
                <w:szCs w:val="20"/>
                <w:lang w:eastAsia="en-GB"/>
              </w:rPr>
              <w:t>Scotland</w:t>
            </w:r>
          </w:p>
        </w:tc>
        <w:tc>
          <w:tcPr>
            <w:tcW w:w="851"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9.6%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9.0%</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9.2%</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9.8%</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13.4%</w:t>
            </w:r>
          </w:p>
        </w:tc>
        <w:tc>
          <w:tcPr>
            <w:tcW w:w="829"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12.1%</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13.0%</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13.2%</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15.3%</w:t>
            </w:r>
          </w:p>
        </w:tc>
        <w:tc>
          <w:tcPr>
            <w:tcW w:w="714" w:type="dxa"/>
            <w:tcBorders>
              <w:top w:val="nil"/>
              <w:left w:val="nil"/>
              <w:bottom w:val="single" w:sz="4" w:space="0" w:color="auto"/>
              <w:right w:val="nil"/>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15.6%</w:t>
            </w:r>
          </w:p>
        </w:tc>
        <w:tc>
          <w:tcPr>
            <w:tcW w:w="565" w:type="dxa"/>
            <w:tcBorders>
              <w:top w:val="nil"/>
              <w:left w:val="single" w:sz="8" w:space="0" w:color="auto"/>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i/>
                <w:iCs/>
                <w:color w:val="000000"/>
                <w:sz w:val="20"/>
                <w:szCs w:val="20"/>
                <w:lang w:eastAsia="en-GB"/>
              </w:rPr>
            </w:pPr>
            <w:r w:rsidRPr="00B25610">
              <w:rPr>
                <w:rFonts w:eastAsia="Times New Roman"/>
                <w:b/>
                <w:i/>
                <w:iCs/>
                <w:color w:val="000000"/>
                <w:sz w:val="20"/>
                <w:szCs w:val="20"/>
                <w:lang w:eastAsia="en-GB"/>
              </w:rPr>
              <w:t>16%</w:t>
            </w:r>
          </w:p>
        </w:tc>
        <w:tc>
          <w:tcPr>
            <w:tcW w:w="565" w:type="dxa"/>
            <w:tcBorders>
              <w:top w:val="nil"/>
              <w:left w:val="nil"/>
              <w:bottom w:val="single" w:sz="4"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bCs/>
                <w:i/>
                <w:color w:val="000000"/>
                <w:sz w:val="20"/>
                <w:szCs w:val="20"/>
                <w:lang w:eastAsia="en-GB"/>
              </w:rPr>
            </w:pPr>
            <w:r w:rsidRPr="00B25610">
              <w:rPr>
                <w:rFonts w:eastAsia="Times New Roman"/>
                <w:b/>
                <w:bCs/>
                <w:i/>
                <w:color w:val="000000"/>
                <w:sz w:val="20"/>
                <w:szCs w:val="20"/>
                <w:lang w:eastAsia="en-GB"/>
              </w:rPr>
              <w:t>63%</w:t>
            </w:r>
          </w:p>
        </w:tc>
      </w:tr>
      <w:tr w:rsidR="00B25610" w:rsidRPr="00B25610" w:rsidTr="002A4143">
        <w:trPr>
          <w:trHeight w:val="315"/>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rPr>
                <w:rFonts w:eastAsia="Times New Roman"/>
                <w:color w:val="000000"/>
                <w:sz w:val="20"/>
                <w:szCs w:val="20"/>
                <w:lang w:eastAsia="en-GB"/>
              </w:rPr>
            </w:pPr>
            <w:r w:rsidRPr="00B25610">
              <w:rPr>
                <w:rFonts w:eastAsia="Times New Roman"/>
                <w:color w:val="000000"/>
                <w:sz w:val="20"/>
                <w:szCs w:val="20"/>
                <w:lang w:eastAsia="en-GB"/>
              </w:rPr>
              <w:t>Wales</w:t>
            </w:r>
          </w:p>
        </w:tc>
        <w:tc>
          <w:tcPr>
            <w:tcW w:w="851"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12.6%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13.9%</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14.4%</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15.9%</w:t>
            </w:r>
          </w:p>
        </w:tc>
        <w:tc>
          <w:tcPr>
            <w:tcW w:w="829"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16.6%</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16.8%</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16.5%</w:t>
            </w:r>
          </w:p>
        </w:tc>
        <w:tc>
          <w:tcPr>
            <w:tcW w:w="714" w:type="dxa"/>
            <w:tcBorders>
              <w:top w:val="nil"/>
              <w:left w:val="nil"/>
              <w:bottom w:val="single" w:sz="4" w:space="0" w:color="auto"/>
              <w:right w:val="single" w:sz="4" w:space="0" w:color="auto"/>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18.5%</w:t>
            </w:r>
          </w:p>
        </w:tc>
        <w:tc>
          <w:tcPr>
            <w:tcW w:w="714" w:type="dxa"/>
            <w:tcBorders>
              <w:top w:val="nil"/>
              <w:left w:val="nil"/>
              <w:bottom w:val="single" w:sz="4" w:space="0" w:color="auto"/>
              <w:right w:val="nil"/>
            </w:tcBorders>
            <w:shd w:val="clear" w:color="auto" w:fill="auto"/>
            <w:noWrap/>
            <w:vAlign w:val="center"/>
            <w:hideMark/>
          </w:tcPr>
          <w:p w:rsidR="00B25610" w:rsidRPr="00B25610" w:rsidRDefault="00B25610" w:rsidP="00B25610">
            <w:pPr>
              <w:spacing w:after="0" w:line="240" w:lineRule="auto"/>
              <w:jc w:val="right"/>
              <w:rPr>
                <w:rFonts w:eastAsia="Times New Roman"/>
                <w:color w:val="000000"/>
                <w:sz w:val="20"/>
                <w:szCs w:val="20"/>
                <w:lang w:eastAsia="en-GB"/>
              </w:rPr>
            </w:pPr>
            <w:r w:rsidRPr="00B25610">
              <w:rPr>
                <w:rFonts w:eastAsia="Times New Roman"/>
                <w:color w:val="000000"/>
                <w:sz w:val="20"/>
                <w:szCs w:val="20"/>
                <w:lang w:eastAsia="en-GB"/>
              </w:rPr>
              <w:t>18.9%</w:t>
            </w:r>
          </w:p>
        </w:tc>
        <w:tc>
          <w:tcPr>
            <w:tcW w:w="565" w:type="dxa"/>
            <w:tcBorders>
              <w:top w:val="nil"/>
              <w:left w:val="single" w:sz="8" w:space="0" w:color="auto"/>
              <w:bottom w:val="single" w:sz="8"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i/>
                <w:iCs/>
                <w:color w:val="000000"/>
                <w:sz w:val="20"/>
                <w:szCs w:val="20"/>
                <w:lang w:eastAsia="en-GB"/>
              </w:rPr>
            </w:pPr>
            <w:r w:rsidRPr="00B25610">
              <w:rPr>
                <w:rFonts w:eastAsia="Times New Roman"/>
                <w:b/>
                <w:i/>
                <w:iCs/>
                <w:color w:val="000000"/>
                <w:sz w:val="20"/>
                <w:szCs w:val="20"/>
                <w:lang w:eastAsia="en-GB"/>
              </w:rPr>
              <w:t>19%</w:t>
            </w:r>
          </w:p>
        </w:tc>
        <w:tc>
          <w:tcPr>
            <w:tcW w:w="565" w:type="dxa"/>
            <w:tcBorders>
              <w:top w:val="nil"/>
              <w:left w:val="nil"/>
              <w:bottom w:val="single" w:sz="8" w:space="0" w:color="auto"/>
              <w:right w:val="single" w:sz="8" w:space="0" w:color="auto"/>
            </w:tcBorders>
            <w:shd w:val="clear" w:color="auto" w:fill="auto"/>
            <w:noWrap/>
            <w:vAlign w:val="bottom"/>
            <w:hideMark/>
          </w:tcPr>
          <w:p w:rsidR="00B25610" w:rsidRPr="00B25610" w:rsidRDefault="00B25610" w:rsidP="00B25610">
            <w:pPr>
              <w:spacing w:after="0" w:line="240" w:lineRule="auto"/>
              <w:jc w:val="right"/>
              <w:rPr>
                <w:rFonts w:eastAsia="Times New Roman"/>
                <w:b/>
                <w:bCs/>
                <w:i/>
                <w:color w:val="000000"/>
                <w:sz w:val="20"/>
                <w:szCs w:val="20"/>
                <w:lang w:eastAsia="en-GB"/>
              </w:rPr>
            </w:pPr>
            <w:r w:rsidRPr="00B25610">
              <w:rPr>
                <w:rFonts w:eastAsia="Times New Roman"/>
                <w:b/>
                <w:bCs/>
                <w:i/>
                <w:color w:val="000000"/>
                <w:sz w:val="20"/>
                <w:szCs w:val="20"/>
                <w:lang w:eastAsia="en-GB"/>
              </w:rPr>
              <w:t>39%</w:t>
            </w:r>
          </w:p>
        </w:tc>
      </w:tr>
    </w:tbl>
    <w:p w:rsidR="002A4143" w:rsidRPr="006577EA" w:rsidRDefault="002A4143" w:rsidP="002A4143">
      <w:pPr>
        <w:rPr>
          <w:sz w:val="20"/>
          <w:szCs w:val="20"/>
        </w:rPr>
      </w:pPr>
      <w:r w:rsidRPr="006577EA">
        <w:rPr>
          <w:sz w:val="20"/>
          <w:szCs w:val="20"/>
        </w:rPr>
        <w:t>[Note:</w:t>
      </w:r>
      <w:r w:rsidR="006577EA">
        <w:rPr>
          <w:sz w:val="20"/>
          <w:szCs w:val="20"/>
        </w:rPr>
        <w:t xml:space="preserve"> Source: UCAS. T</w:t>
      </w:r>
      <w:r w:rsidRPr="006577EA">
        <w:rPr>
          <w:sz w:val="20"/>
          <w:szCs w:val="20"/>
        </w:rPr>
        <w:t xml:space="preserve">rends are more comparable than absolute </w:t>
      </w:r>
      <w:r w:rsidR="006577EA" w:rsidRPr="006577EA">
        <w:rPr>
          <w:sz w:val="20"/>
          <w:szCs w:val="20"/>
        </w:rPr>
        <w:t>percentage</w:t>
      </w:r>
      <w:r w:rsidRPr="006577EA">
        <w:rPr>
          <w:sz w:val="20"/>
          <w:szCs w:val="20"/>
        </w:rPr>
        <w:t>s, given the difficulty of judging how to deal with the fact that a substantial minority of HE in Scotland is sub-degree, provided in FE colleges.]</w:t>
      </w:r>
    </w:p>
    <w:p w:rsidR="00B25610" w:rsidRDefault="006577EA" w:rsidP="00E4482D">
      <w:r>
        <w:t xml:space="preserve">This data relates to young students: applications from mature students have fallen </w:t>
      </w:r>
      <w:r w:rsidR="00F35852">
        <w:t>across</w:t>
      </w:r>
      <w:r>
        <w:t xml:space="preserve"> the UK, </w:t>
      </w:r>
      <w:r w:rsidR="00F35852">
        <w:t xml:space="preserve">including Scotland, </w:t>
      </w:r>
      <w:r>
        <w:t>but most strongly in England</w:t>
      </w:r>
      <w:r w:rsidR="00BA3572">
        <w:t>, particularly since 2012</w:t>
      </w:r>
      <w:r>
        <w:t xml:space="preserve">.  </w:t>
      </w:r>
    </w:p>
    <w:p w:rsidR="00C21217" w:rsidRDefault="00A63321" w:rsidP="00E4482D">
      <w:pPr>
        <w:rPr>
          <w:b/>
        </w:rPr>
      </w:pPr>
      <w:r w:rsidRPr="00BA3572">
        <w:rPr>
          <w:u w:val="single"/>
        </w:rPr>
        <w:t>Entry rate</w:t>
      </w:r>
      <w:r w:rsidR="00BA3572">
        <w:rPr>
          <w:u w:val="single"/>
        </w:rPr>
        <w:t>s</w:t>
      </w:r>
      <w:r w:rsidRPr="006577EA">
        <w:t xml:space="preserve"> </w:t>
      </w:r>
      <w:r>
        <w:t>– arguably more critical i</w:t>
      </w:r>
      <w:r w:rsidR="00BA3572">
        <w:t>n terms of actual access - show</w:t>
      </w:r>
      <w:r>
        <w:t xml:space="preserve"> </w:t>
      </w:r>
      <w:r w:rsidR="00B25610">
        <w:t>yet another pattern</w:t>
      </w:r>
      <w:r w:rsidR="00A64008">
        <w:t>.  The e</w:t>
      </w:r>
      <w:r>
        <w:t>ntry ra</w:t>
      </w:r>
      <w:r w:rsidR="00112284">
        <w:t>te will be affected b</w:t>
      </w:r>
      <w:r>
        <w:t xml:space="preserve">y </w:t>
      </w:r>
      <w:r w:rsidR="007B1DBD">
        <w:t xml:space="preserve">further </w:t>
      </w:r>
      <w:r>
        <w:t xml:space="preserve">variables, particularly the availability of places, institutional </w:t>
      </w:r>
      <w:r w:rsidR="007B1DBD">
        <w:t>selection practice</w:t>
      </w:r>
      <w:r w:rsidR="00C21217">
        <w:t xml:space="preserve"> </w:t>
      </w:r>
      <w:r>
        <w:t>and exam results</w:t>
      </w:r>
      <w:r w:rsidR="00C21217">
        <w:t>. However,</w:t>
      </w:r>
      <w:r>
        <w:t xml:space="preserve"> </w:t>
      </w:r>
      <w:r w:rsidR="00112284">
        <w:t>if s</w:t>
      </w:r>
      <w:r>
        <w:t>tudents</w:t>
      </w:r>
      <w:r w:rsidR="00112284">
        <w:t xml:space="preserve"> fall away late in the process as they gain</w:t>
      </w:r>
      <w:r>
        <w:t xml:space="preserve"> a better un</w:t>
      </w:r>
      <w:r w:rsidR="00DB67A9">
        <w:t xml:space="preserve">derstanding of </w:t>
      </w:r>
      <w:r w:rsidR="00112284">
        <w:t xml:space="preserve">the </w:t>
      </w:r>
      <w:r w:rsidR="00DB67A9">
        <w:t>financial issues</w:t>
      </w:r>
      <w:r w:rsidR="00112284">
        <w:t>, it</w:t>
      </w:r>
      <w:r w:rsidR="00DB67A9">
        <w:t xml:space="preserve"> might </w:t>
      </w:r>
      <w:r w:rsidR="00112284">
        <w:t xml:space="preserve">also </w:t>
      </w:r>
      <w:r w:rsidR="00DB67A9">
        <w:t xml:space="preserve">be expected to show here.   </w:t>
      </w:r>
    </w:p>
    <w:p w:rsidR="00836A87" w:rsidRPr="00BA066B" w:rsidRDefault="001D68DF" w:rsidP="00836A87">
      <w:pPr>
        <w:rPr>
          <w:u w:val="single"/>
        </w:rPr>
      </w:pPr>
      <w:r>
        <w:rPr>
          <w:u w:val="single"/>
        </w:rPr>
        <w:t>Entry</w:t>
      </w:r>
      <w:r w:rsidR="00836A87" w:rsidRPr="00BA066B">
        <w:rPr>
          <w:u w:val="single"/>
        </w:rPr>
        <w:t xml:space="preserve"> rates: POLAR3 Q1</w:t>
      </w:r>
    </w:p>
    <w:tbl>
      <w:tblPr>
        <w:tblW w:w="9881" w:type="dxa"/>
        <w:tblInd w:w="93" w:type="dxa"/>
        <w:tblLook w:val="04A0" w:firstRow="1" w:lastRow="0" w:firstColumn="1" w:lastColumn="0" w:noHBand="0" w:noVBand="1"/>
      </w:tblPr>
      <w:tblGrid>
        <w:gridCol w:w="1008"/>
        <w:gridCol w:w="992"/>
        <w:gridCol w:w="709"/>
        <w:gridCol w:w="708"/>
        <w:gridCol w:w="709"/>
        <w:gridCol w:w="709"/>
        <w:gridCol w:w="850"/>
        <w:gridCol w:w="709"/>
        <w:gridCol w:w="709"/>
        <w:gridCol w:w="709"/>
        <w:gridCol w:w="841"/>
        <w:gridCol w:w="1228"/>
      </w:tblGrid>
      <w:tr w:rsidR="00A64008" w:rsidRPr="00A64008" w:rsidTr="00836A87">
        <w:trPr>
          <w:trHeight w:val="300"/>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color w:val="000000"/>
                <w:sz w:val="20"/>
                <w:szCs w:val="20"/>
                <w:lang w:eastAsia="en-GB"/>
              </w:rPr>
            </w:pPr>
            <w:r w:rsidRPr="00A64008">
              <w:rPr>
                <w:rFonts w:eastAsia="Times New Roman"/>
                <w:color w:val="000000"/>
                <w:sz w:val="20"/>
                <w:szCs w:val="20"/>
                <w:lang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2006</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2007</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2008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2009</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2010</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2011</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2012</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2013</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2014</w:t>
            </w:r>
          </w:p>
        </w:tc>
        <w:tc>
          <w:tcPr>
            <w:tcW w:w="841"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b/>
                <w:i/>
                <w:color w:val="000000"/>
                <w:sz w:val="20"/>
                <w:szCs w:val="20"/>
                <w:lang w:eastAsia="en-GB"/>
              </w:rPr>
            </w:pPr>
            <w:r w:rsidRPr="00A64008">
              <w:rPr>
                <w:rFonts w:eastAsia="Times New Roman"/>
                <w:b/>
                <w:i/>
                <w:color w:val="000000"/>
                <w:sz w:val="20"/>
                <w:szCs w:val="20"/>
                <w:lang w:eastAsia="en-GB"/>
              </w:rPr>
              <w:t>Change</w:t>
            </w:r>
            <w:r>
              <w:rPr>
                <w:rFonts w:eastAsia="Times New Roman"/>
                <w:b/>
                <w:i/>
                <w:color w:val="000000"/>
                <w:sz w:val="20"/>
                <w:szCs w:val="20"/>
                <w:lang w:eastAsia="en-GB"/>
              </w:rPr>
              <w:t xml:space="preserve"> 2006-14</w:t>
            </w:r>
          </w:p>
        </w:tc>
        <w:tc>
          <w:tcPr>
            <w:tcW w:w="1228" w:type="dxa"/>
            <w:tcBorders>
              <w:top w:val="single" w:sz="4" w:space="0" w:color="auto"/>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b/>
                <w:i/>
                <w:color w:val="000000"/>
                <w:sz w:val="20"/>
                <w:szCs w:val="20"/>
                <w:lang w:eastAsia="en-GB"/>
              </w:rPr>
            </w:pPr>
            <w:r w:rsidRPr="00A64008">
              <w:rPr>
                <w:rFonts w:eastAsia="Times New Roman"/>
                <w:b/>
                <w:i/>
                <w:color w:val="000000"/>
                <w:sz w:val="20"/>
                <w:szCs w:val="20"/>
                <w:lang w:eastAsia="en-GB"/>
              </w:rPr>
              <w:t xml:space="preserve">Change in </w:t>
            </w:r>
            <w:r w:rsidRPr="00A64008">
              <w:rPr>
                <w:rFonts w:eastAsia="Times New Roman"/>
                <w:b/>
                <w:i/>
                <w:color w:val="000000"/>
                <w:sz w:val="20"/>
                <w:szCs w:val="20"/>
                <w:u w:val="single"/>
                <w:lang w:eastAsia="en-GB"/>
              </w:rPr>
              <w:t>applications</w:t>
            </w:r>
            <w:r w:rsidRPr="00A64008">
              <w:rPr>
                <w:rFonts w:eastAsia="Times New Roman"/>
                <w:b/>
                <w:i/>
                <w:color w:val="000000"/>
                <w:sz w:val="20"/>
                <w:szCs w:val="20"/>
                <w:lang w:eastAsia="en-GB"/>
              </w:rPr>
              <w:t xml:space="preserve"> 2006-</w:t>
            </w:r>
            <w:r>
              <w:rPr>
                <w:rFonts w:eastAsia="Times New Roman"/>
                <w:b/>
                <w:i/>
                <w:color w:val="000000"/>
                <w:sz w:val="20"/>
                <w:szCs w:val="20"/>
                <w:lang w:eastAsia="en-GB"/>
              </w:rPr>
              <w:t>14</w:t>
            </w:r>
          </w:p>
        </w:tc>
      </w:tr>
      <w:tr w:rsidR="00A64008" w:rsidRPr="00A64008" w:rsidTr="00836A87">
        <w:trPr>
          <w:trHeight w:val="300"/>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color w:val="000000"/>
                <w:sz w:val="20"/>
                <w:szCs w:val="20"/>
                <w:lang w:eastAsia="en-GB"/>
              </w:rPr>
            </w:pPr>
            <w:r w:rsidRPr="00A64008">
              <w:rPr>
                <w:rFonts w:eastAsia="Times New Roman"/>
                <w:color w:val="000000"/>
                <w:sz w:val="20"/>
                <w:szCs w:val="20"/>
                <w:lang w:eastAsia="en-GB"/>
              </w:rPr>
              <w:t>England</w:t>
            </w:r>
          </w:p>
        </w:tc>
        <w:tc>
          <w:tcPr>
            <w:tcW w:w="992"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11%</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70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13%</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850"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15%</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15%</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16%</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18%</w:t>
            </w:r>
          </w:p>
        </w:tc>
        <w:tc>
          <w:tcPr>
            <w:tcW w:w="841"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61%</w:t>
            </w:r>
          </w:p>
        </w:tc>
        <w:tc>
          <w:tcPr>
            <w:tcW w:w="122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67%</w:t>
            </w:r>
          </w:p>
        </w:tc>
      </w:tr>
      <w:tr w:rsidR="00A64008" w:rsidRPr="00A64008" w:rsidTr="00836A87">
        <w:trPr>
          <w:trHeight w:val="300"/>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color w:val="000000"/>
                <w:sz w:val="20"/>
                <w:szCs w:val="20"/>
                <w:lang w:eastAsia="en-GB"/>
              </w:rPr>
            </w:pPr>
            <w:r w:rsidRPr="00A64008">
              <w:rPr>
                <w:rFonts w:eastAsia="Times New Roman"/>
                <w:color w:val="000000"/>
                <w:sz w:val="20"/>
                <w:szCs w:val="20"/>
                <w:lang w:eastAsia="en-GB"/>
              </w:rPr>
              <w:t>Northern Ireland</w:t>
            </w:r>
          </w:p>
        </w:tc>
        <w:tc>
          <w:tcPr>
            <w:tcW w:w="992"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13%</w:t>
            </w:r>
          </w:p>
        </w:tc>
        <w:tc>
          <w:tcPr>
            <w:tcW w:w="70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13%</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850"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15%</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16%</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17%</w:t>
            </w:r>
          </w:p>
        </w:tc>
        <w:tc>
          <w:tcPr>
            <w:tcW w:w="841"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49%</w:t>
            </w:r>
          </w:p>
        </w:tc>
        <w:tc>
          <w:tcPr>
            <w:tcW w:w="122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25%</w:t>
            </w:r>
          </w:p>
        </w:tc>
      </w:tr>
      <w:tr w:rsidR="00A64008" w:rsidRPr="00A64008" w:rsidTr="00836A87">
        <w:trPr>
          <w:trHeight w:val="300"/>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color w:val="000000"/>
                <w:sz w:val="20"/>
                <w:szCs w:val="20"/>
                <w:lang w:eastAsia="en-GB"/>
              </w:rPr>
            </w:pPr>
            <w:r w:rsidRPr="00A64008">
              <w:rPr>
                <w:rFonts w:eastAsia="Times New Roman"/>
                <w:color w:val="000000"/>
                <w:sz w:val="20"/>
                <w:szCs w:val="20"/>
                <w:lang w:eastAsia="en-GB"/>
              </w:rPr>
              <w:t>Scotland</w:t>
            </w:r>
          </w:p>
        </w:tc>
        <w:tc>
          <w:tcPr>
            <w:tcW w:w="992"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6%</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6%</w:t>
            </w:r>
          </w:p>
        </w:tc>
        <w:tc>
          <w:tcPr>
            <w:tcW w:w="70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7%</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7%</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9%</w:t>
            </w:r>
          </w:p>
        </w:tc>
        <w:tc>
          <w:tcPr>
            <w:tcW w:w="850"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8%</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8%</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8%</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9%</w:t>
            </w:r>
          </w:p>
        </w:tc>
        <w:tc>
          <w:tcPr>
            <w:tcW w:w="841"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49%</w:t>
            </w:r>
          </w:p>
        </w:tc>
        <w:tc>
          <w:tcPr>
            <w:tcW w:w="122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59%</w:t>
            </w:r>
          </w:p>
        </w:tc>
      </w:tr>
      <w:tr w:rsidR="00A64008" w:rsidRPr="00A64008" w:rsidTr="00836A87">
        <w:trPr>
          <w:trHeight w:val="300"/>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rPr>
                <w:rFonts w:eastAsia="Times New Roman"/>
                <w:color w:val="000000"/>
                <w:sz w:val="20"/>
                <w:szCs w:val="20"/>
                <w:lang w:eastAsia="en-GB"/>
              </w:rPr>
            </w:pPr>
            <w:r w:rsidRPr="00A64008">
              <w:rPr>
                <w:rFonts w:eastAsia="Times New Roman"/>
                <w:color w:val="000000"/>
                <w:sz w:val="20"/>
                <w:szCs w:val="20"/>
                <w:lang w:eastAsia="en-GB"/>
              </w:rPr>
              <w:t>Wales</w:t>
            </w:r>
          </w:p>
        </w:tc>
        <w:tc>
          <w:tcPr>
            <w:tcW w:w="992"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11%</w:t>
            </w:r>
          </w:p>
        </w:tc>
        <w:tc>
          <w:tcPr>
            <w:tcW w:w="70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13%</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850"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14%</w:t>
            </w:r>
          </w:p>
        </w:tc>
        <w:tc>
          <w:tcPr>
            <w:tcW w:w="709"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color w:val="000000"/>
                <w:sz w:val="20"/>
                <w:szCs w:val="20"/>
                <w:lang w:eastAsia="en-GB"/>
              </w:rPr>
            </w:pPr>
            <w:r w:rsidRPr="00A64008">
              <w:rPr>
                <w:rFonts w:eastAsia="Times New Roman"/>
                <w:color w:val="000000"/>
                <w:sz w:val="20"/>
                <w:szCs w:val="20"/>
                <w:lang w:eastAsia="en-GB"/>
              </w:rPr>
              <w:t>17%</w:t>
            </w:r>
          </w:p>
        </w:tc>
        <w:tc>
          <w:tcPr>
            <w:tcW w:w="841"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39%</w:t>
            </w:r>
          </w:p>
        </w:tc>
        <w:tc>
          <w:tcPr>
            <w:tcW w:w="1228" w:type="dxa"/>
            <w:tcBorders>
              <w:top w:val="nil"/>
              <w:left w:val="nil"/>
              <w:bottom w:val="single" w:sz="4" w:space="0" w:color="auto"/>
              <w:right w:val="single" w:sz="4" w:space="0" w:color="auto"/>
            </w:tcBorders>
            <w:shd w:val="clear" w:color="auto" w:fill="auto"/>
            <w:noWrap/>
            <w:vAlign w:val="bottom"/>
            <w:hideMark/>
          </w:tcPr>
          <w:p w:rsidR="00A64008" w:rsidRPr="00A64008" w:rsidRDefault="00A64008" w:rsidP="00A64008">
            <w:pPr>
              <w:spacing w:after="0" w:line="240" w:lineRule="auto"/>
              <w:jc w:val="right"/>
              <w:rPr>
                <w:rFonts w:eastAsia="Times New Roman"/>
                <w:b/>
                <w:i/>
                <w:color w:val="000000"/>
                <w:sz w:val="20"/>
                <w:szCs w:val="20"/>
                <w:lang w:eastAsia="en-GB"/>
              </w:rPr>
            </w:pPr>
            <w:r w:rsidRPr="00A64008">
              <w:rPr>
                <w:rFonts w:eastAsia="Times New Roman"/>
                <w:b/>
                <w:i/>
                <w:color w:val="000000"/>
                <w:sz w:val="20"/>
                <w:szCs w:val="20"/>
                <w:lang w:eastAsia="en-GB"/>
              </w:rPr>
              <w:t>36%</w:t>
            </w:r>
          </w:p>
        </w:tc>
      </w:tr>
    </w:tbl>
    <w:p w:rsidR="007B1DBD" w:rsidRDefault="00836A87" w:rsidP="00E4482D">
      <w:r w:rsidRPr="004168A0">
        <w:rPr>
          <w:sz w:val="20"/>
          <w:szCs w:val="20"/>
        </w:rPr>
        <w:t xml:space="preserve">[Note: Source: UCAS. </w:t>
      </w:r>
      <w:r w:rsidR="004168A0" w:rsidRPr="004168A0">
        <w:rPr>
          <w:b/>
          <w:sz w:val="20"/>
          <w:szCs w:val="20"/>
        </w:rPr>
        <w:t>UCAS uses POLAR2 Q1 for entry rates, which may affect comparisons with applicant rates.</w:t>
      </w:r>
      <w:r w:rsidR="004168A0" w:rsidRPr="004168A0">
        <w:rPr>
          <w:sz w:val="20"/>
          <w:szCs w:val="20"/>
        </w:rPr>
        <w:t xml:space="preserve">  </w:t>
      </w:r>
      <w:r w:rsidRPr="004168A0">
        <w:rPr>
          <w:sz w:val="20"/>
          <w:szCs w:val="20"/>
        </w:rPr>
        <w:t>Trends</w:t>
      </w:r>
      <w:r w:rsidRPr="006577EA">
        <w:rPr>
          <w:sz w:val="20"/>
          <w:szCs w:val="20"/>
        </w:rPr>
        <w:t xml:space="preserve"> are more comparable than absolute percentages, given the difficulty of judging how to deal with the fact that a substantial minority of HE in Scotland is sub-degree, provided in FE colleges</w:t>
      </w:r>
    </w:p>
    <w:p w:rsidR="00836A87" w:rsidRDefault="004168A0" w:rsidP="00836A87">
      <w:pPr>
        <w:rPr>
          <w:b/>
        </w:rPr>
      </w:pPr>
      <w:r>
        <w:t xml:space="preserve">Scotland </w:t>
      </w:r>
      <w:r w:rsidR="00BA3572">
        <w:t>is</w:t>
      </w:r>
      <w:r>
        <w:t xml:space="preserve"> tied </w:t>
      </w:r>
      <w:r w:rsidR="00BA3572">
        <w:t xml:space="preserve">in second place </w:t>
      </w:r>
      <w:r>
        <w:t>with Northern Ireland</w:t>
      </w:r>
      <w:r w:rsidR="00BA3572">
        <w:t xml:space="preserve">. </w:t>
      </w:r>
      <w:r w:rsidR="007A42ED">
        <w:t>In Scotland a</w:t>
      </w:r>
      <w:r w:rsidR="00BA3572">
        <w:t xml:space="preserve"> 59% increase in applicants over the period 2006-14 falls to a 49% increase in entrants </w:t>
      </w:r>
      <w:r>
        <w:t xml:space="preserve">.  </w:t>
      </w:r>
      <w:r w:rsidR="00836A87">
        <w:t>T</w:t>
      </w:r>
      <w:r w:rsidR="00C21217">
        <w:t>h</w:t>
      </w:r>
      <w:r w:rsidR="00836A87">
        <w:t xml:space="preserve">e </w:t>
      </w:r>
      <w:r w:rsidR="0097065F">
        <w:t xml:space="preserve">particularly large drop between </w:t>
      </w:r>
      <w:r w:rsidR="00836A87">
        <w:t xml:space="preserve">entrants </w:t>
      </w:r>
      <w:r w:rsidR="0097065F">
        <w:t xml:space="preserve">and </w:t>
      </w:r>
      <w:r w:rsidR="00836A87">
        <w:t>applicants in Scotland probably reflects</w:t>
      </w:r>
      <w:r w:rsidR="006A38D8">
        <w:t xml:space="preserve"> the tighter availability of places </w:t>
      </w:r>
      <w:r>
        <w:t>here</w:t>
      </w:r>
      <w:r w:rsidR="006A38D8">
        <w:t xml:space="preserve">. However, it could also </w:t>
      </w:r>
      <w:r w:rsidR="00611A04">
        <w:t>reflect</w:t>
      </w:r>
      <w:r w:rsidR="006A38D8">
        <w:t xml:space="preserve"> an element </w:t>
      </w:r>
      <w:r w:rsidR="00445D32">
        <w:t>of interest from</w:t>
      </w:r>
      <w:r w:rsidR="00C21217">
        <w:t xml:space="preserve"> poorer Scots </w:t>
      </w:r>
      <w:r w:rsidR="006A38D8">
        <w:t>dropping off</w:t>
      </w:r>
      <w:r w:rsidR="00611A04">
        <w:t>,</w:t>
      </w:r>
      <w:r w:rsidR="006A38D8">
        <w:t xml:space="preserve"> as understanding of the reality of funding overtakes awareness of the rhetoric</w:t>
      </w:r>
      <w:r w:rsidR="00611A04">
        <w:t>. The</w:t>
      </w:r>
      <w:r w:rsidR="00C21217">
        <w:t xml:space="preserve"> Commission may want to explore</w:t>
      </w:r>
      <w:r w:rsidR="00611A04">
        <w:t xml:space="preserve"> this possibility</w:t>
      </w:r>
      <w:r w:rsidR="00C21217">
        <w:t>.</w:t>
      </w:r>
      <w:r w:rsidR="00644C4B">
        <w:t xml:space="preserve">  </w:t>
      </w:r>
      <w:r w:rsidR="00726C19">
        <w:rPr>
          <w:b/>
        </w:rPr>
        <w:t>More generally, t</w:t>
      </w:r>
      <w:r w:rsidR="00836A87" w:rsidRPr="00836A87">
        <w:rPr>
          <w:b/>
        </w:rPr>
        <w:t xml:space="preserve">he </w:t>
      </w:r>
      <w:r w:rsidR="00836A87">
        <w:rPr>
          <w:b/>
        </w:rPr>
        <w:t xml:space="preserve">data on </w:t>
      </w:r>
      <w:r w:rsidR="00836A87" w:rsidRPr="00836A87">
        <w:rPr>
          <w:b/>
        </w:rPr>
        <w:t xml:space="preserve">entrants </w:t>
      </w:r>
      <w:r w:rsidR="00726C19">
        <w:rPr>
          <w:b/>
        </w:rPr>
        <w:t>deserves at least equal attention to that on</w:t>
      </w:r>
      <w:r w:rsidR="00836A87" w:rsidRPr="00836A87">
        <w:rPr>
          <w:b/>
        </w:rPr>
        <w:t xml:space="preserve"> applicants.</w:t>
      </w:r>
    </w:p>
    <w:p w:rsidR="002B7E3E" w:rsidRDefault="002B7E3E" w:rsidP="00E4482D">
      <w:r>
        <w:t xml:space="preserve">One further area where funding differences might </w:t>
      </w:r>
      <w:r w:rsidR="00AB77F0">
        <w:t>in theory</w:t>
      </w:r>
      <w:r w:rsidR="00445D32">
        <w:t xml:space="preserve"> </w:t>
      </w:r>
      <w:r>
        <w:t xml:space="preserve">show in the comparative data is </w:t>
      </w:r>
      <w:r w:rsidRPr="00445D32">
        <w:rPr>
          <w:b/>
        </w:rPr>
        <w:t>retention</w:t>
      </w:r>
      <w:r>
        <w:t xml:space="preserve">. </w:t>
      </w:r>
      <w:r w:rsidR="007A0DD2">
        <w:t xml:space="preserve">  Either the fear of accumulating debt </w:t>
      </w:r>
      <w:r w:rsidR="00383512">
        <w:t>or inability to manage on the u</w:t>
      </w:r>
      <w:r w:rsidR="007A0DD2">
        <w:t xml:space="preserve">pfront living cost support available might </w:t>
      </w:r>
      <w:r w:rsidR="00AB77F0">
        <w:t>result in students dropping out</w:t>
      </w:r>
      <w:r w:rsidR="007A0DD2">
        <w:t>.  Unfortunately, published retention data is not</w:t>
      </w:r>
      <w:r w:rsidR="00383512">
        <w:t xml:space="preserve"> avail</w:t>
      </w:r>
      <w:r w:rsidR="007A0DD2">
        <w:t>able by socio</w:t>
      </w:r>
      <w:r w:rsidR="00BA066B">
        <w:t xml:space="preserve">-economic background, although </w:t>
      </w:r>
      <w:r w:rsidR="00383512">
        <w:t>the Com</w:t>
      </w:r>
      <w:r w:rsidR="007A0DD2">
        <w:t>miss</w:t>
      </w:r>
      <w:r w:rsidR="00383512">
        <w:t xml:space="preserve">ion may want to </w:t>
      </w:r>
      <w:r w:rsidR="00644C4B">
        <w:t xml:space="preserve">explore further what </w:t>
      </w:r>
      <w:r w:rsidR="00F85E73">
        <w:t xml:space="preserve">further analysis </w:t>
      </w:r>
      <w:r w:rsidR="00AB77F0">
        <w:t xml:space="preserve">may be </w:t>
      </w:r>
      <w:r w:rsidR="00644C4B">
        <w:t>available</w:t>
      </w:r>
      <w:r w:rsidR="00F85E73">
        <w:t xml:space="preserve"> from researchers or organisations collecting data</w:t>
      </w:r>
      <w:r w:rsidR="00383512">
        <w:t xml:space="preserve">.  </w:t>
      </w:r>
      <w:r w:rsidR="00644C4B">
        <w:t xml:space="preserve">However, in 2012-13, the most recent year for which comparable HESA figures are available, projected non-completion was very similar in all parts of the UK (10% in England, 10.2% in Scotland, 10.4% in Wales and 11.2% in NI). </w:t>
      </w:r>
      <w:r w:rsidR="00383512">
        <w:t xml:space="preserve">Again, it is hard to see any </w:t>
      </w:r>
      <w:r w:rsidR="00644C4B">
        <w:t>immediately cl</w:t>
      </w:r>
      <w:r w:rsidR="00383512">
        <w:t>ear pattern connected to student funding policy.</w:t>
      </w:r>
      <w:r w:rsidR="00445D32">
        <w:t xml:space="preserve"> </w:t>
      </w:r>
    </w:p>
    <w:p w:rsidR="005E2576" w:rsidRPr="00726C19" w:rsidRDefault="005E2576" w:rsidP="00726C19">
      <w:pPr>
        <w:rPr>
          <w:u w:val="single"/>
        </w:rPr>
      </w:pPr>
      <w:r w:rsidRPr="00726C19">
        <w:rPr>
          <w:u w:val="single"/>
        </w:rPr>
        <w:t>Research in individual parts of the UK</w:t>
      </w:r>
    </w:p>
    <w:p w:rsidR="005E2576" w:rsidRPr="00726C19" w:rsidRDefault="005E2576" w:rsidP="00726C19">
      <w:r w:rsidRPr="00726C19">
        <w:t>The two most substantial pi</w:t>
      </w:r>
      <w:r w:rsidR="00F85E73" w:rsidRPr="00726C19">
        <w:t>e</w:t>
      </w:r>
      <w:r w:rsidRPr="00726C19">
        <w:t xml:space="preserve">ces of research into </w:t>
      </w:r>
      <w:r w:rsidR="007A42ED">
        <w:t xml:space="preserve">the relationship between national </w:t>
      </w:r>
      <w:r w:rsidRPr="00726C19">
        <w:t xml:space="preserve">student funding </w:t>
      </w:r>
      <w:r w:rsidR="007A42ED">
        <w:t xml:space="preserve">policy </w:t>
      </w:r>
      <w:r w:rsidRPr="00726C19">
        <w:t xml:space="preserve">and participation </w:t>
      </w:r>
      <w:r w:rsidR="004168A0" w:rsidRPr="00726C19">
        <w:t>have been done</w:t>
      </w:r>
      <w:r w:rsidR="0063308B" w:rsidRPr="00726C19">
        <w:t xml:space="preserve"> in relation to England</w:t>
      </w:r>
      <w:r w:rsidR="004168A0" w:rsidRPr="00726C19">
        <w:t xml:space="preserve"> by Lorraine Dearden, Gill Wyness and others.</w:t>
      </w:r>
      <w:r w:rsidRPr="00726C19">
        <w:t xml:space="preserve"> </w:t>
      </w:r>
    </w:p>
    <w:p w:rsidR="004168A0" w:rsidRPr="007A42ED" w:rsidRDefault="005E2576" w:rsidP="00726C19">
      <w:pPr>
        <w:rPr>
          <w:b/>
        </w:rPr>
      </w:pPr>
      <w:r w:rsidRPr="00726C19">
        <w:t xml:space="preserve">The first of </w:t>
      </w:r>
      <w:r w:rsidR="004168A0" w:rsidRPr="00726C19">
        <w:t xml:space="preserve">these, </w:t>
      </w:r>
      <w:hyperlink r:id="rId11" w:history="1">
        <w:r w:rsidR="004168A0" w:rsidRPr="00726C19">
          <w:rPr>
            <w:rStyle w:val="Hyperlink"/>
            <w:rFonts w:asciiTheme="minorHAnsi" w:eastAsia="Times New Roman" w:hAnsiTheme="minorHAnsi" w:cs="Arial"/>
            <w:lang w:eastAsia="en-GB"/>
          </w:rPr>
          <w:t>The Impact of Higher Education Finance on University Participation in the UK</w:t>
        </w:r>
      </w:hyperlink>
      <w:r w:rsidR="004168A0" w:rsidRPr="00726C19">
        <w:rPr>
          <w:rFonts w:eastAsia="Times New Roman" w:cs="Arial"/>
          <w:lang w:eastAsia="en-GB"/>
        </w:rPr>
        <w:t xml:space="preserve"> </w:t>
      </w:r>
      <w:r w:rsidR="001D68DF" w:rsidRPr="00726C19">
        <w:rPr>
          <w:rFonts w:eastAsia="Times New Roman" w:cs="Arial"/>
          <w:lang w:eastAsia="en-GB"/>
        </w:rPr>
        <w:t xml:space="preserve">(2010), </w:t>
      </w:r>
      <w:r w:rsidR="004168A0" w:rsidRPr="00726C19">
        <w:rPr>
          <w:rFonts w:eastAsia="Times New Roman" w:cs="Arial"/>
          <w:lang w:eastAsia="en-GB"/>
        </w:rPr>
        <w:t xml:space="preserve">used a complex model which </w:t>
      </w:r>
      <w:r w:rsidR="00101715" w:rsidRPr="00726C19">
        <w:rPr>
          <w:rFonts w:eastAsia="Times New Roman" w:cs="Arial"/>
          <w:lang w:eastAsia="en-GB"/>
        </w:rPr>
        <w:t xml:space="preserve">attempted </w:t>
      </w:r>
      <w:r w:rsidR="004168A0" w:rsidRPr="00726C19">
        <w:rPr>
          <w:rFonts w:eastAsia="Times New Roman" w:cs="Arial"/>
          <w:lang w:eastAsia="en-GB"/>
        </w:rPr>
        <w:t xml:space="preserve">to disentangle separate changes in different elements of student support </w:t>
      </w:r>
      <w:r w:rsidR="00056107" w:rsidRPr="00056107">
        <w:t>(fees, loans and grants)</w:t>
      </w:r>
      <w:r w:rsidR="00056107" w:rsidRPr="00726C19">
        <w:t xml:space="preserve"> </w:t>
      </w:r>
      <w:r w:rsidR="004168A0" w:rsidRPr="00726C19">
        <w:rPr>
          <w:rFonts w:eastAsia="Times New Roman" w:cs="Arial"/>
          <w:lang w:eastAsia="en-GB"/>
        </w:rPr>
        <w:t>at different points in England over several years.</w:t>
      </w:r>
      <w:r w:rsidR="004168A0" w:rsidRPr="00726C19">
        <w:t xml:space="preserve">  The researchers demonstrated that </w:t>
      </w:r>
      <w:r w:rsidR="004168A0" w:rsidRPr="007A42ED">
        <w:rPr>
          <w:b/>
        </w:rPr>
        <w:t>it is</w:t>
      </w:r>
      <w:r w:rsidR="004168A0" w:rsidRPr="00726C19">
        <w:t xml:space="preserve"> </w:t>
      </w:r>
      <w:r w:rsidR="004168A0" w:rsidRPr="007A42ED">
        <w:rPr>
          <w:b/>
        </w:rPr>
        <w:t>the combined effect of changes in all three elements</w:t>
      </w:r>
      <w:r w:rsidR="00056107" w:rsidRPr="007A42ED">
        <w:rPr>
          <w:b/>
        </w:rPr>
        <w:t xml:space="preserve"> </w:t>
      </w:r>
      <w:r w:rsidR="004168A0" w:rsidRPr="007A42ED">
        <w:rPr>
          <w:b/>
        </w:rPr>
        <w:t>which matters.</w:t>
      </w:r>
    </w:p>
    <w:p w:rsidR="004168A0" w:rsidRPr="00726C19" w:rsidRDefault="004168A0" w:rsidP="00726C19">
      <w:r w:rsidRPr="00726C19">
        <w:t xml:space="preserve">In 1998-99, </w:t>
      </w:r>
      <w:r w:rsidR="00101715" w:rsidRPr="00726C19">
        <w:t xml:space="preserve">when means-tested fees were introduced, </w:t>
      </w:r>
      <w:r w:rsidR="00056107">
        <w:t>total upfront living cost support increased but</w:t>
      </w:r>
      <w:r w:rsidR="00101715" w:rsidRPr="00726C19">
        <w:t xml:space="preserve"> grants replaced with loans, the researchers note: </w:t>
      </w:r>
      <w:r w:rsidRPr="00726C19">
        <w:t>“the increased costs of university participation imposed in 1998/99, while reducing participation of high income groups, did not appear to sacrifice the goal of widening participation of low income groups.”</w:t>
      </w:r>
    </w:p>
    <w:p w:rsidR="004168A0" w:rsidRPr="00726C19" w:rsidRDefault="004168A0" w:rsidP="00726C19">
      <w:r w:rsidRPr="00726C19">
        <w:t>In 2006</w:t>
      </w:r>
      <w:r w:rsidR="00101715" w:rsidRPr="00726C19">
        <w:t>, means-testing was removed and fees increased, but dedicated loans made available for fees.</w:t>
      </w:r>
      <w:r w:rsidR="003374DC">
        <w:t>  Grants</w:t>
      </w:r>
      <w:r w:rsidR="00056107">
        <w:t xml:space="preserve">, </w:t>
      </w:r>
      <w:r w:rsidRPr="00726C19">
        <w:t>reintroduced for those at lower incomes</w:t>
      </w:r>
      <w:r w:rsidR="00056107">
        <w:t xml:space="preserve"> in</w:t>
      </w:r>
      <w:r w:rsidR="003374DC">
        <w:t xml:space="preserve"> </w:t>
      </w:r>
      <w:r w:rsidR="00056107">
        <w:t>2004, were increased further</w:t>
      </w:r>
      <w:r w:rsidRPr="00726C19">
        <w:t xml:space="preserve">.  The report </w:t>
      </w:r>
      <w:r w:rsidR="00101715" w:rsidRPr="00726C19">
        <w:t>note</w:t>
      </w:r>
      <w:r w:rsidRPr="00726C19">
        <w:t>s: “In the case of the 2006 reforms, there was no overall change in participation for any of the groups. For the low income group, the large increase in grants and fee loans was sufficient to outweigh the impact of the £3000 deferred fee introduction, so that the net result was no significant change in participation. The same is true for medium and high income students though in each case the separate components of loans, grants and fees are themselves significant.”</w:t>
      </w:r>
    </w:p>
    <w:p w:rsidR="004168A0" w:rsidRPr="00101715" w:rsidRDefault="004168A0" w:rsidP="004168A0">
      <w:pPr>
        <w:pStyle w:val="NormalWeb"/>
        <w:rPr>
          <w:rFonts w:asciiTheme="minorHAnsi" w:hAnsiTheme="minorHAnsi"/>
          <w:sz w:val="22"/>
          <w:szCs w:val="22"/>
        </w:rPr>
      </w:pPr>
      <w:r w:rsidRPr="00101715">
        <w:rPr>
          <w:rFonts w:asciiTheme="minorHAnsi" w:hAnsiTheme="minorHAnsi"/>
          <w:sz w:val="22"/>
          <w:szCs w:val="22"/>
        </w:rPr>
        <w:t>As the researchers put it</w:t>
      </w:r>
      <w:r w:rsidR="00726C19">
        <w:rPr>
          <w:rFonts w:asciiTheme="minorHAnsi" w:hAnsiTheme="minorHAnsi"/>
          <w:sz w:val="22"/>
          <w:szCs w:val="22"/>
        </w:rPr>
        <w:t xml:space="preserve"> </w:t>
      </w:r>
      <w:r w:rsidR="00726C19" w:rsidRPr="001D68DF">
        <w:rPr>
          <w:rFonts w:asciiTheme="minorHAnsi" w:hAnsiTheme="minorHAnsi"/>
          <w:i/>
          <w:sz w:val="22"/>
          <w:szCs w:val="22"/>
        </w:rPr>
        <w:t>[emphasis added]</w:t>
      </w:r>
      <w:r w:rsidRPr="00101715">
        <w:rPr>
          <w:rFonts w:asciiTheme="minorHAnsi" w:hAnsiTheme="minorHAnsi"/>
          <w:sz w:val="22"/>
          <w:szCs w:val="22"/>
        </w:rPr>
        <w:t>: “These results are highly relevant for policy makers, who ought to be aware of the negative impact of upfront fees – </w:t>
      </w:r>
      <w:r w:rsidRPr="00101715">
        <w:rPr>
          <w:rFonts w:asciiTheme="minorHAnsi" w:hAnsiTheme="minorHAnsi"/>
          <w:b/>
          <w:bCs/>
          <w:sz w:val="22"/>
          <w:szCs w:val="22"/>
        </w:rPr>
        <w:t>i.e. those not covered by a fee loan</w:t>
      </w:r>
      <w:r w:rsidR="001D68DF">
        <w:rPr>
          <w:rFonts w:asciiTheme="minorHAnsi" w:hAnsiTheme="minorHAnsi"/>
          <w:sz w:val="22"/>
          <w:szCs w:val="22"/>
        </w:rPr>
        <w:t> </w:t>
      </w:r>
      <w:r w:rsidRPr="00101715">
        <w:rPr>
          <w:rFonts w:asciiTheme="minorHAnsi" w:hAnsiTheme="minorHAnsi"/>
          <w:sz w:val="22"/>
          <w:szCs w:val="22"/>
        </w:rPr>
        <w:t xml:space="preserve">– and the positive impact of aid on participation. Maintenance grants can potentially be used to offset the negative influence of fee increases, given their opposing influences on participation. </w:t>
      </w:r>
      <w:r w:rsidRPr="00726C19">
        <w:rPr>
          <w:rFonts w:asciiTheme="minorHAnsi" w:hAnsiTheme="minorHAnsi"/>
          <w:b/>
          <w:sz w:val="22"/>
          <w:szCs w:val="22"/>
        </w:rPr>
        <w:t>Policy makers should also be aware of particularly vulnerable groups when setting levels of fees and grants, and may need to target specific groups with more generous aid</w:t>
      </w:r>
      <w:r w:rsidRPr="00101715">
        <w:rPr>
          <w:rFonts w:asciiTheme="minorHAnsi" w:hAnsiTheme="minorHAnsi"/>
          <w:sz w:val="22"/>
          <w:szCs w:val="22"/>
        </w:rPr>
        <w:t> to counteract any increases in tuition fees.”</w:t>
      </w:r>
    </w:p>
    <w:p w:rsidR="004168A0" w:rsidRPr="001D68DF" w:rsidRDefault="00726C19" w:rsidP="004168A0">
      <w:pPr>
        <w:pStyle w:val="NormalWeb"/>
        <w:rPr>
          <w:rFonts w:asciiTheme="minorHAnsi" w:hAnsiTheme="minorHAnsi"/>
          <w:sz w:val="22"/>
          <w:szCs w:val="22"/>
        </w:rPr>
      </w:pPr>
      <w:r>
        <w:rPr>
          <w:rFonts w:asciiTheme="minorHAnsi" w:hAnsiTheme="minorHAnsi"/>
          <w:sz w:val="22"/>
          <w:szCs w:val="22"/>
        </w:rPr>
        <w:t>The</w:t>
      </w:r>
      <w:r w:rsidR="004168A0" w:rsidRPr="00101715">
        <w:rPr>
          <w:rFonts w:asciiTheme="minorHAnsi" w:hAnsiTheme="minorHAnsi"/>
          <w:sz w:val="22"/>
          <w:szCs w:val="22"/>
        </w:rPr>
        <w:t xml:space="preserve"> study</w:t>
      </w:r>
      <w:r w:rsidR="006C1227">
        <w:rPr>
          <w:rFonts w:asciiTheme="minorHAnsi" w:hAnsiTheme="minorHAnsi"/>
          <w:sz w:val="22"/>
          <w:szCs w:val="22"/>
        </w:rPr>
        <w:t xml:space="preserve"> </w:t>
      </w:r>
      <w:r>
        <w:rPr>
          <w:rFonts w:asciiTheme="minorHAnsi" w:hAnsiTheme="minorHAnsi"/>
          <w:sz w:val="22"/>
          <w:szCs w:val="22"/>
        </w:rPr>
        <w:t>further suggested</w:t>
      </w:r>
      <w:r w:rsidR="001D68DF">
        <w:rPr>
          <w:rFonts w:asciiTheme="minorHAnsi" w:hAnsiTheme="minorHAnsi"/>
          <w:sz w:val="22"/>
          <w:szCs w:val="22"/>
        </w:rPr>
        <w:t xml:space="preserve"> </w:t>
      </w:r>
      <w:r w:rsidR="004168A0" w:rsidRPr="00101715">
        <w:rPr>
          <w:rFonts w:asciiTheme="minorHAnsi" w:hAnsiTheme="minorHAnsi"/>
          <w:sz w:val="22"/>
          <w:szCs w:val="22"/>
        </w:rPr>
        <w:t xml:space="preserve">that </w:t>
      </w:r>
      <w:r>
        <w:rPr>
          <w:rFonts w:asciiTheme="minorHAnsi" w:hAnsiTheme="minorHAnsi"/>
          <w:sz w:val="22"/>
          <w:szCs w:val="22"/>
        </w:rPr>
        <w:t xml:space="preserve">the form of aid provided was </w:t>
      </w:r>
      <w:r w:rsidR="004168A0" w:rsidRPr="00101715">
        <w:rPr>
          <w:rFonts w:asciiTheme="minorHAnsi" w:hAnsiTheme="minorHAnsi"/>
          <w:sz w:val="22"/>
          <w:szCs w:val="22"/>
        </w:rPr>
        <w:t xml:space="preserve">a far less significant factor in determining applications than “parental education and prior attainment” which are the “key drivers </w:t>
      </w:r>
      <w:r w:rsidR="004168A0" w:rsidRPr="001D68DF">
        <w:rPr>
          <w:rFonts w:asciiTheme="minorHAnsi" w:hAnsiTheme="minorHAnsi"/>
          <w:sz w:val="22"/>
          <w:szCs w:val="22"/>
        </w:rPr>
        <w:t>of participation”.</w:t>
      </w:r>
    </w:p>
    <w:p w:rsidR="001D68DF" w:rsidRPr="001D68DF" w:rsidRDefault="001D68DF" w:rsidP="001D68DF">
      <w:pPr>
        <w:pStyle w:val="NormalWeb"/>
        <w:rPr>
          <w:rFonts w:asciiTheme="minorHAnsi" w:hAnsiTheme="minorHAnsi"/>
          <w:sz w:val="22"/>
          <w:szCs w:val="22"/>
        </w:rPr>
      </w:pPr>
      <w:r w:rsidRPr="001D68DF">
        <w:rPr>
          <w:rFonts w:asciiTheme="minorHAnsi" w:hAnsiTheme="minorHAnsi"/>
          <w:sz w:val="22"/>
          <w:szCs w:val="22"/>
        </w:rPr>
        <w:t xml:space="preserve">A more recent study,  </w:t>
      </w:r>
      <w:hyperlink r:id="rId12" w:history="1">
        <w:r w:rsidRPr="001D68DF">
          <w:rPr>
            <w:rStyle w:val="Hyperlink"/>
            <w:rFonts w:asciiTheme="minorHAnsi" w:hAnsiTheme="minorHAnsi"/>
            <w:sz w:val="22"/>
            <w:szCs w:val="22"/>
          </w:rPr>
          <w:t>Money for nothing: Estimating the impact of student aid on participation in higher education</w:t>
        </w:r>
      </w:hyperlink>
      <w:r w:rsidR="00726C19">
        <w:rPr>
          <w:rStyle w:val="Emphasis"/>
          <w:rFonts w:asciiTheme="minorHAnsi" w:hAnsiTheme="minorHAnsi"/>
          <w:sz w:val="22"/>
          <w:szCs w:val="22"/>
        </w:rPr>
        <w:t xml:space="preserve"> (2014), </w:t>
      </w:r>
      <w:r w:rsidRPr="001D68DF">
        <w:rPr>
          <w:rFonts w:asciiTheme="minorHAnsi" w:hAnsiTheme="minorHAnsi"/>
          <w:sz w:val="22"/>
          <w:szCs w:val="22"/>
        </w:rPr>
        <w:t xml:space="preserve"> examin</w:t>
      </w:r>
      <w:r w:rsidR="00726C19">
        <w:rPr>
          <w:rFonts w:asciiTheme="minorHAnsi" w:hAnsiTheme="minorHAnsi"/>
          <w:sz w:val="22"/>
          <w:szCs w:val="22"/>
        </w:rPr>
        <w:t xml:space="preserve">ing </w:t>
      </w:r>
      <w:r w:rsidRPr="001D68DF">
        <w:rPr>
          <w:rFonts w:asciiTheme="minorHAnsi" w:hAnsiTheme="minorHAnsi"/>
          <w:sz w:val="22"/>
          <w:szCs w:val="22"/>
        </w:rPr>
        <w:t>the effect of introducing a £1,000 grant in England in 2004</w:t>
      </w:r>
      <w:r w:rsidR="00726C19">
        <w:rPr>
          <w:rFonts w:asciiTheme="minorHAnsi" w:hAnsiTheme="minorHAnsi"/>
          <w:sz w:val="22"/>
          <w:szCs w:val="22"/>
        </w:rPr>
        <w:t>,</w:t>
      </w:r>
      <w:r w:rsidRPr="001D68DF">
        <w:rPr>
          <w:rFonts w:asciiTheme="minorHAnsi" w:hAnsiTheme="minorHAnsi"/>
          <w:sz w:val="22"/>
          <w:szCs w:val="22"/>
        </w:rPr>
        <w:t xml:space="preserve"> suggested a stronger role for grant than the 2010 research.  Over the period examined there was no other change to student funding.  Fees remained at £1,000 (mean-tested, paid upfront) and the grant substituted for loan: total living costs did </w:t>
      </w:r>
      <w:r w:rsidR="00726C19">
        <w:rPr>
          <w:rFonts w:asciiTheme="minorHAnsi" w:hAnsiTheme="minorHAnsi"/>
          <w:sz w:val="22"/>
          <w:szCs w:val="22"/>
        </w:rPr>
        <w:t>not increase.  The research used</w:t>
      </w:r>
      <w:r w:rsidRPr="001D68DF">
        <w:rPr>
          <w:rFonts w:asciiTheme="minorHAnsi" w:hAnsiTheme="minorHAnsi"/>
          <w:sz w:val="22"/>
          <w:szCs w:val="22"/>
        </w:rPr>
        <w:t xml:space="preserve"> students above the grant cut-off as a control group, as their funding did not change at all. The authors report that the grant increase resulted in a 3.95% increase in participation rates in the group affected (which was students from households with incomes below £22,500).  The piece also includes useful links to research in other countries on this theme, with which its findings are compatible.</w:t>
      </w:r>
    </w:p>
    <w:p w:rsidR="006D4FE5" w:rsidRDefault="001D68DF" w:rsidP="00E4482D">
      <w:r w:rsidRPr="00726C19">
        <w:rPr>
          <w:b/>
        </w:rPr>
        <w:t xml:space="preserve">The Commission is strongly advised to consider these reports in full and any other similar material it may be </w:t>
      </w:r>
      <w:r w:rsidR="006D4FE5">
        <w:rPr>
          <w:b/>
        </w:rPr>
        <w:t>able to obtain from the authors</w:t>
      </w:r>
      <w:r w:rsidR="006D4FE5">
        <w:t>, bearing in mind that in 2013-14 in Scotland grants were reduced, with additional loan filling the gap.</w:t>
      </w:r>
    </w:p>
    <w:p w:rsidR="005E2576" w:rsidRDefault="005E2576" w:rsidP="00E4482D">
      <w:r w:rsidRPr="00101715">
        <w:t>Although as</w:t>
      </w:r>
      <w:r w:rsidR="00F85E73" w:rsidRPr="00101715">
        <w:t>ser</w:t>
      </w:r>
      <w:r w:rsidRPr="00101715">
        <w:t xml:space="preserve">tions about Scottish policy and access have been a recurring theme of the past decade, I am not aware of any substantial </w:t>
      </w:r>
      <w:r w:rsidR="00F85E73" w:rsidRPr="00101715">
        <w:t xml:space="preserve">empirical </w:t>
      </w:r>
      <w:r w:rsidRPr="00101715">
        <w:t xml:space="preserve">research undertaken in Scotland </w:t>
      </w:r>
      <w:r w:rsidR="00F85E73" w:rsidRPr="00101715">
        <w:t xml:space="preserve">or commissioned by the Scottish Government </w:t>
      </w:r>
      <w:r w:rsidRPr="00101715">
        <w:t xml:space="preserve">which seeks to </w:t>
      </w:r>
      <w:r w:rsidR="00EC21B7" w:rsidRPr="00101715">
        <w:t>test for correlations</w:t>
      </w:r>
      <w:r w:rsidR="00F85E73" w:rsidRPr="00101715">
        <w:t xml:space="preserve"> between </w:t>
      </w:r>
      <w:r w:rsidR="00EC21B7" w:rsidRPr="00101715">
        <w:t xml:space="preserve">changes in </w:t>
      </w:r>
      <w:r w:rsidR="00F85E73" w:rsidRPr="00101715">
        <w:t>funding policy and access</w:t>
      </w:r>
      <w:r w:rsidR="00EC21B7" w:rsidRPr="00101715">
        <w:t>, as in the examples above</w:t>
      </w:r>
      <w:r w:rsidRPr="00101715">
        <w:t>.</w:t>
      </w:r>
      <w:r w:rsidR="00F85E73" w:rsidRPr="00101715">
        <w:t xml:space="preserve"> The Commission may wish to check this with the Scottish Government.</w:t>
      </w:r>
    </w:p>
    <w:p w:rsidR="0063308B" w:rsidRDefault="006D4FE5" w:rsidP="0063308B">
      <w:r>
        <w:t>However, a</w:t>
      </w:r>
      <w:hyperlink r:id="rId13" w:history="1">
        <w:r w:rsidR="0063308B" w:rsidRPr="003D7305">
          <w:rPr>
            <w:rStyle w:val="Hyperlink"/>
          </w:rPr>
          <w:t xml:space="preserve"> report laid before the Parliament by the Scottish </w:t>
        </w:r>
        <w:r w:rsidR="0063308B">
          <w:rPr>
            <w:rStyle w:val="Hyperlink"/>
          </w:rPr>
          <w:t xml:space="preserve">Government </w:t>
        </w:r>
        <w:r w:rsidR="0063308B" w:rsidRPr="003D7305">
          <w:rPr>
            <w:rStyle w:val="Hyperlink"/>
          </w:rPr>
          <w:t>in April 2013</w:t>
        </w:r>
      </w:hyperlink>
      <w:r w:rsidR="0063308B">
        <w:t xml:space="preserve"> did record (emphasis added) that:</w:t>
      </w:r>
    </w:p>
    <w:p w:rsidR="0063308B" w:rsidRPr="003D7305" w:rsidRDefault="0063308B" w:rsidP="0063308B">
      <w:pPr>
        <w:ind w:left="720"/>
      </w:pPr>
      <w:r w:rsidRPr="003D7305">
        <w:t>19. When asked about fees, costs and the Graduate Endowment Fee in 2007-08 students said that costs for books/ equipment, rent/ housing, food/drink, entertainment, travel, and commercial loans were of greater concern to students than the Graduate Endowment Fees. This suggests, as noted in previous reports laid in Parliament, that while the Fee could have been a factor in a student’s decision to study at the time,</w:t>
      </w:r>
      <w:r w:rsidRPr="003D7305">
        <w:rPr>
          <w:rStyle w:val="Strong"/>
        </w:rPr>
        <w:t xml:space="preserve"> it would be more accurate to consider the Fee in the wider context of costs and debt generally, and how both the fear of, and actual debt, impacts on student behaviour and outcomes</w:t>
      </w:r>
      <w:r w:rsidRPr="003D7305">
        <w:t>.  …</w:t>
      </w:r>
    </w:p>
    <w:p w:rsidR="0063308B" w:rsidRPr="003D7305" w:rsidRDefault="0063308B" w:rsidP="0063308B">
      <w:pPr>
        <w:ind w:left="720"/>
      </w:pPr>
      <w:r w:rsidRPr="003D7305">
        <w:t xml:space="preserve">21. Other evidence sources suggest that </w:t>
      </w:r>
      <w:r w:rsidRPr="003D7305">
        <w:rPr>
          <w:rStyle w:val="Strong"/>
        </w:rPr>
        <w:t>the fear of debt and cost of study can potentially dissuade prospective students to going to university. People from disadvantaged family backgrounds are especially vulnerable in this respect</w:t>
      </w:r>
      <w:r w:rsidRPr="003D7305">
        <w:t>.</w:t>
      </w:r>
    </w:p>
    <w:p w:rsidR="0063308B" w:rsidRPr="003D7305" w:rsidRDefault="0063308B" w:rsidP="0063308B">
      <w:pPr>
        <w:ind w:left="720"/>
      </w:pPr>
      <w:r w:rsidRPr="003D7305">
        <w:t xml:space="preserve">22. BIS research notes that most young people see debt as a normal part of life, but that those with the most negative attitudes to debt are among those least likely to apply to HE. It suggests that students from low income households see the costs of HE as a debt rather than an investment. </w:t>
      </w:r>
      <w:r w:rsidRPr="003D7305">
        <w:rPr>
          <w:rStyle w:val="Strong"/>
        </w:rPr>
        <w:t>Those from less privileged backgrounds were more likely to be concerned about debt</w:t>
      </w:r>
      <w:r w:rsidRPr="003D7305">
        <w:t>, and those most averse to debt were among the less willing to participate in HE</w:t>
      </w:r>
      <w:r w:rsidR="003374DC">
        <w:t xml:space="preserve"> ..</w:t>
      </w:r>
      <w:r w:rsidRPr="003D7305">
        <w:t>.</w:t>
      </w:r>
    </w:p>
    <w:p w:rsidR="0063308B" w:rsidRPr="003D7305" w:rsidRDefault="0063308B" w:rsidP="0063308B">
      <w:pPr>
        <w:ind w:left="720"/>
        <w:rPr>
          <w:rStyle w:val="Strong"/>
        </w:rPr>
      </w:pPr>
      <w:r w:rsidRPr="003D7305">
        <w:t>24. While research from BIS has shown that the</w:t>
      </w:r>
      <w:r w:rsidRPr="003D7305">
        <w:rPr>
          <w:rStyle w:val="Strong"/>
        </w:rPr>
        <w:t xml:space="preserve"> tuition fees introduced in England in 2006-07 did not impact on participation levels (even by those from deprived backgrounds),</w:t>
      </w:r>
      <w:r w:rsidRPr="003D7305">
        <w:t xml:space="preserve"> they seemed to have an impact on people’s </w:t>
      </w:r>
      <w:r w:rsidRPr="003D7305">
        <w:rPr>
          <w:rStyle w:val="Strong"/>
        </w:rPr>
        <w:t>choices of where to study</w:t>
      </w:r>
      <w:r w:rsidRPr="003D7305">
        <w:t>. The research showed that people from more deprived backgrounds tended to choose a university closer to home, often a less prestigious institution.</w:t>
      </w:r>
      <w:r w:rsidRPr="003D7305">
        <w:rPr>
          <w:rStyle w:val="Strong"/>
        </w:rPr>
        <w:t xml:space="preserve"> As such those from disadvantaged backgrounds are at risk, unless counterbalancing policies (such as loans and grants) are available to them.</w:t>
      </w:r>
    </w:p>
    <w:p w:rsidR="0063308B" w:rsidRPr="003D7305" w:rsidRDefault="0063308B" w:rsidP="0063308B">
      <w:pPr>
        <w:ind w:left="720"/>
        <w:rPr>
          <w:bCs/>
        </w:rPr>
      </w:pPr>
      <w:r w:rsidRPr="003D7305">
        <w:t>25. The OECD reports similar findings.</w:t>
      </w:r>
      <w:r w:rsidRPr="003D7305">
        <w:rPr>
          <w:rStyle w:val="Strong"/>
        </w:rPr>
        <w:t xml:space="preserve"> In OECD countries where students are required to pay tuition fees, and can benefit from public subsidies, there are not lower levels of access to university-level education than the OECD average.”</w:t>
      </w:r>
    </w:p>
    <w:p w:rsidR="00383512" w:rsidRPr="00101715" w:rsidRDefault="00383512" w:rsidP="00E4482D">
      <w:pPr>
        <w:rPr>
          <w:u w:val="single"/>
        </w:rPr>
      </w:pPr>
      <w:r w:rsidRPr="00101715">
        <w:rPr>
          <w:u w:val="single"/>
        </w:rPr>
        <w:t>International Experience</w:t>
      </w:r>
    </w:p>
    <w:p w:rsidR="00BC01A2" w:rsidRDefault="00CD6BC3">
      <w:hyperlink r:id="rId14" w:history="1">
        <w:r w:rsidR="00BC01A2" w:rsidRPr="00BC01A2">
          <w:rPr>
            <w:rStyle w:val="Hyperlink"/>
          </w:rPr>
          <w:t>Commenting in January</w:t>
        </w:r>
      </w:hyperlink>
      <w:r w:rsidR="00BC01A2">
        <w:t xml:space="preserve"> on the UK (in practice </w:t>
      </w:r>
      <w:r w:rsidR="006D4FE5">
        <w:t>appearing to mean mainly</w:t>
      </w:r>
      <w:r w:rsidR="00BC01A2">
        <w:t xml:space="preserve"> the English) system, the OECD’s Director of </w:t>
      </w:r>
      <w:r w:rsidR="001D68DF">
        <w:t>Education and Skills</w:t>
      </w:r>
      <w:r w:rsidR="00BC01A2">
        <w:t>, Andreas Schleicher</w:t>
      </w:r>
      <w:r w:rsidR="001D68DF">
        <w:t xml:space="preserve">, </w:t>
      </w:r>
      <w:r w:rsidR="00BC01A2">
        <w:t xml:space="preserve"> noted:</w:t>
      </w:r>
    </w:p>
    <w:p w:rsidR="00BC01A2" w:rsidRPr="00BC01A2" w:rsidRDefault="00EC21B7" w:rsidP="00BC01A2">
      <w:pPr>
        <w:ind w:left="720"/>
        <w:rPr>
          <w:rFonts w:asciiTheme="minorHAnsi" w:hAnsiTheme="minorHAnsi"/>
        </w:rPr>
      </w:pPr>
      <w:r w:rsidRPr="00BC01A2">
        <w:rPr>
          <w:rFonts w:asciiTheme="minorHAnsi" w:hAnsiTheme="minorHAnsi"/>
        </w:rPr>
        <w:t>“OECD data show absolutely no cross-country relationship between the level of tuition countries charge and the participation of disadvantaged youth in tertiary education. In fact, social mobility is worse in Germany which pays for all university education through the public purse than it is in the UK</w:t>
      </w:r>
      <w:r w:rsidR="00BC01A2" w:rsidRPr="00BC01A2">
        <w:rPr>
          <w:rFonts w:asciiTheme="minorHAnsi" w:hAnsiTheme="minorHAnsi"/>
        </w:rPr>
        <w:t xml:space="preserve">…   </w:t>
      </w:r>
    </w:p>
    <w:p w:rsidR="00BC01A2" w:rsidRPr="00BC01A2" w:rsidRDefault="00BC01A2" w:rsidP="00BC01A2">
      <w:pPr>
        <w:ind w:left="720"/>
        <w:rPr>
          <w:rFonts w:asciiTheme="minorHAnsi" w:hAnsiTheme="minorHAnsi"/>
        </w:rPr>
      </w:pPr>
      <w:r w:rsidRPr="00BC01A2">
        <w:rPr>
          <w:rFonts w:asciiTheme="minorHAnsi" w:hAnsiTheme="minorHAnsi"/>
        </w:rPr>
        <w:t>a combination of income-contingent loans and means-tested grants … basically means risk-free access to financing for prospective students with governments leveraging, but not paying, for the costs</w:t>
      </w:r>
      <w:r>
        <w:rPr>
          <w:rFonts w:asciiTheme="minorHAnsi" w:hAnsiTheme="minorHAnsi"/>
        </w:rPr>
        <w:t>…</w:t>
      </w:r>
    </w:p>
    <w:p w:rsidR="00BC01A2" w:rsidRPr="00BC01A2" w:rsidRDefault="00BC01A2" w:rsidP="00BC01A2">
      <w:pPr>
        <w:ind w:left="720"/>
        <w:rPr>
          <w:rFonts w:asciiTheme="minorHAnsi" w:hAnsiTheme="minorHAnsi"/>
        </w:rPr>
      </w:pPr>
      <w:r w:rsidRPr="00BC01A2">
        <w:rPr>
          <w:rFonts w:asciiTheme="minorHAnsi" w:hAnsiTheme="minorHAnsi"/>
        </w:rPr>
        <w:t>But even the best loan system is often not sufficient. There is ample evidence that youth from low income families or from families with poorly educated parents, but also youth who just don't have good information on the benefits of tertiary education, underestimate the net benefits of tertiary education. That’s why it has paid off for the UK to complement the loan scheme with means-tested grants or tuition waivers for vulnerable groups</w:t>
      </w:r>
      <w:r>
        <w:rPr>
          <w:rFonts w:asciiTheme="minorHAnsi" w:hAnsiTheme="minorHAnsi"/>
        </w:rPr>
        <w:t>…</w:t>
      </w:r>
    </w:p>
    <w:p w:rsidR="00BC01A2" w:rsidRPr="00BC01A2" w:rsidRDefault="00BC01A2" w:rsidP="00BC01A2">
      <w:pPr>
        <w:ind w:left="720"/>
        <w:rPr>
          <w:rFonts w:asciiTheme="minorHAnsi" w:hAnsiTheme="minorHAnsi"/>
        </w:rPr>
      </w:pPr>
      <w:r w:rsidRPr="00BC01A2">
        <w:rPr>
          <w:rFonts w:asciiTheme="minorHAnsi" w:hAnsiTheme="minorHAnsi"/>
        </w:rPr>
        <w:t>There is lots the UK can do to further improve its approach to financing universities... But among all available approaches, the UK offers still the most scalable and sustainable approach to university finance.</w:t>
      </w:r>
      <w:r>
        <w:rPr>
          <w:rFonts w:asciiTheme="minorHAnsi" w:hAnsiTheme="minorHAnsi"/>
        </w:rPr>
        <w:t>”</w:t>
      </w:r>
    </w:p>
    <w:p w:rsidR="008C12D7" w:rsidRPr="007A766F" w:rsidRDefault="00BC01A2" w:rsidP="007A766F">
      <w:pPr>
        <w:rPr>
          <w:rFonts w:ascii="Times New Roman" w:eastAsia="Times New Roman" w:hAnsi="Times New Roman"/>
          <w:sz w:val="24"/>
          <w:szCs w:val="24"/>
          <w:lang w:eastAsia="en-GB"/>
        </w:rPr>
      </w:pPr>
      <w:r w:rsidRPr="00BC01A2">
        <w:t>Eurost</w:t>
      </w:r>
      <w:r>
        <w:t>udent</w:t>
      </w:r>
      <w:r w:rsidR="008C12D7">
        <w:t xml:space="preserve">  </w:t>
      </w:r>
      <w:r w:rsidR="007A766F">
        <w:t xml:space="preserve">produces extensive information on student background and finance across Europe: most recently, </w:t>
      </w:r>
      <w:hyperlink r:id="rId15" w:history="1">
        <w:r w:rsidR="007A766F" w:rsidRPr="007A766F">
          <w:rPr>
            <w:rStyle w:val="Hyperlink"/>
          </w:rPr>
          <w:t>Social and Economic Conditions of Student Life in Europe 2012 - 2015</w:t>
        </w:r>
      </w:hyperlink>
      <w:r w:rsidR="007A766F">
        <w:t xml:space="preserve">.  </w:t>
      </w:r>
      <w:r w:rsidR="001D68DF">
        <w:t>It</w:t>
      </w:r>
      <w:r w:rsidR="007A766F">
        <w:t xml:space="preserve"> is difficult draw any clear conclusion about the links between </w:t>
      </w:r>
      <w:r w:rsidR="001D68DF">
        <w:t>access and funding from the very com</w:t>
      </w:r>
      <w:r w:rsidR="007A766F">
        <w:t xml:space="preserve">plex sets of figures provided: however, there are signs that the total amount of support and the extent to which a system offers wider access may be connected.  The </w:t>
      </w:r>
      <w:r w:rsidR="00454889">
        <w:t>previous edit</w:t>
      </w:r>
      <w:r w:rsidR="001D68DF">
        <w:t xml:space="preserve">ion of the document, covering the </w:t>
      </w:r>
      <w:r w:rsidR="001D68DF" w:rsidRPr="0063308B">
        <w:rPr>
          <w:rFonts w:asciiTheme="minorHAnsi" w:hAnsiTheme="minorHAnsi"/>
        </w:rPr>
        <w:t xml:space="preserve">period to 2011, suggested that </w:t>
      </w:r>
      <w:r w:rsidR="007A766F" w:rsidRPr="0063308B">
        <w:rPr>
          <w:rFonts w:asciiTheme="minorHAnsi" w:hAnsiTheme="minorHAnsi"/>
        </w:rPr>
        <w:t>“</w:t>
      </w:r>
      <w:r w:rsidR="001D68DF" w:rsidRPr="0063308B">
        <w:rPr>
          <w:rFonts w:asciiTheme="minorHAnsi" w:hAnsiTheme="minorHAnsi"/>
        </w:rPr>
        <w:t xml:space="preserve">[making] </w:t>
      </w:r>
      <w:r w:rsidR="008C12D7" w:rsidRPr="0063308B">
        <w:rPr>
          <w:rFonts w:asciiTheme="minorHAnsi" w:eastAsia="Times New Roman" w:hAnsiTheme="minorHAnsi"/>
          <w:lang w:eastAsia="en-GB"/>
        </w:rPr>
        <w:t>sufficient funds available to students can be viewed as a necessary financial condition for taking up and successfully completing HE</w:t>
      </w:r>
      <w:r w:rsidR="007A766F" w:rsidRPr="0063308B">
        <w:rPr>
          <w:rFonts w:asciiTheme="minorHAnsi" w:eastAsia="Times New Roman" w:hAnsiTheme="minorHAnsi"/>
          <w:lang w:eastAsia="en-GB"/>
        </w:rPr>
        <w:t>”.</w:t>
      </w:r>
      <w:r w:rsidR="007A766F">
        <w:rPr>
          <w:rFonts w:ascii="Times New Roman" w:eastAsia="Times New Roman" w:hAnsi="Times New Roman"/>
          <w:sz w:val="24"/>
          <w:szCs w:val="24"/>
          <w:lang w:eastAsia="en-GB"/>
        </w:rPr>
        <w:t xml:space="preserve">  </w:t>
      </w:r>
    </w:p>
    <w:p w:rsidR="007A42ED" w:rsidRDefault="007A42ED">
      <w:pPr>
        <w:rPr>
          <w:u w:val="single"/>
        </w:rPr>
      </w:pPr>
      <w:r>
        <w:rPr>
          <w:u w:val="single"/>
        </w:rPr>
        <w:br w:type="page"/>
      </w:r>
    </w:p>
    <w:p w:rsidR="00DA0405" w:rsidRDefault="00DA0405" w:rsidP="00DA0405">
      <w:pPr>
        <w:rPr>
          <w:u w:val="single"/>
        </w:rPr>
      </w:pPr>
      <w:r w:rsidRPr="0005168F">
        <w:rPr>
          <w:u w:val="single"/>
        </w:rPr>
        <w:t>ssues for Scotland</w:t>
      </w:r>
    </w:p>
    <w:p w:rsidR="00DA0405" w:rsidRDefault="00DA0405" w:rsidP="00DA0405">
      <w:r>
        <w:t>Against this background, any conclusions about the impact of student funding on access in Scotland have to be cautious.</w:t>
      </w:r>
    </w:p>
    <w:p w:rsidR="00DA0405" w:rsidRPr="00CB6E5C" w:rsidRDefault="00DA0405" w:rsidP="00DA0405">
      <w:pPr>
        <w:pStyle w:val="ListParagraph"/>
        <w:numPr>
          <w:ilvl w:val="0"/>
          <w:numId w:val="3"/>
        </w:numPr>
        <w:rPr>
          <w:u w:val="single"/>
        </w:rPr>
      </w:pPr>
      <w:r w:rsidRPr="00CB6E5C">
        <w:rPr>
          <w:u w:val="single"/>
        </w:rPr>
        <w:t>Largely loan-based living cost support</w:t>
      </w:r>
    </w:p>
    <w:p w:rsidR="005117D3" w:rsidRDefault="00C87DC6">
      <w:r>
        <w:t>While fees are fully</w:t>
      </w:r>
      <w:r w:rsidR="00DA0405">
        <w:t xml:space="preserve"> cash</w:t>
      </w:r>
      <w:r>
        <w:t xml:space="preserve"> funded at all income</w:t>
      </w:r>
      <w:r w:rsidR="00DA0405">
        <w:t>s</w:t>
      </w:r>
      <w:r>
        <w:t xml:space="preserve">, </w:t>
      </w:r>
      <w:r w:rsidR="00DA0405">
        <w:t>non-repayable</w:t>
      </w:r>
      <w:r>
        <w:t xml:space="preserve"> living cost support is very limited in Scotland</w:t>
      </w:r>
      <w:r w:rsidR="00726C19">
        <w:t>, particularly since grants were reduced in 2013-14</w:t>
      </w:r>
      <w:r>
        <w:t>.  Most assistance with living costs is provided as loan: see table below</w:t>
      </w:r>
      <w:r w:rsidR="0022527E">
        <w:t xml:space="preserve"> for 2014-15 figures</w:t>
      </w:r>
      <w:r>
        <w:t>.</w:t>
      </w:r>
    </w:p>
    <w:tbl>
      <w:tblPr>
        <w:tblW w:w="3812"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Description w:val="This table shows the amount of bursary and loan available dependant upon household income."/>
      </w:tblPr>
      <w:tblGrid>
        <w:gridCol w:w="2324"/>
        <w:gridCol w:w="850"/>
        <w:gridCol w:w="789"/>
        <w:gridCol w:w="1001"/>
        <w:gridCol w:w="1001"/>
        <w:gridCol w:w="1000"/>
      </w:tblGrid>
      <w:tr w:rsidR="003374DC" w:rsidRPr="0022527E" w:rsidTr="007A42ED">
        <w:trPr>
          <w:tblCellSpacing w:w="15" w:type="dxa"/>
        </w:trPr>
        <w:tc>
          <w:tcPr>
            <w:tcW w:w="1635" w:type="pct"/>
            <w:vAlign w:val="center"/>
            <w:hideMark/>
          </w:tcPr>
          <w:p w:rsidR="003374DC" w:rsidRPr="0022527E" w:rsidRDefault="005117D3" w:rsidP="0022527E">
            <w:pPr>
              <w:spacing w:after="0" w:line="240" w:lineRule="auto"/>
              <w:jc w:val="center"/>
              <w:rPr>
                <w:rFonts w:asciiTheme="minorHAnsi" w:eastAsia="Times New Roman" w:hAnsiTheme="minorHAnsi"/>
                <w:b/>
                <w:bCs/>
                <w:sz w:val="20"/>
                <w:szCs w:val="20"/>
                <w:lang w:eastAsia="en-GB"/>
              </w:rPr>
            </w:pPr>
            <w:r>
              <w:br w:type="page"/>
            </w:r>
            <w:r w:rsidR="003374DC" w:rsidRPr="0022527E">
              <w:rPr>
                <w:rFonts w:asciiTheme="minorHAnsi" w:eastAsia="Times New Roman" w:hAnsiTheme="minorHAnsi"/>
                <w:b/>
                <w:bCs/>
                <w:sz w:val="20"/>
                <w:szCs w:val="20"/>
                <w:lang w:eastAsia="en-GB"/>
              </w:rPr>
              <w:t>Household income</w:t>
            </w:r>
          </w:p>
        </w:tc>
        <w:tc>
          <w:tcPr>
            <w:tcW w:w="589" w:type="pct"/>
            <w:vAlign w:val="center"/>
            <w:hideMark/>
          </w:tcPr>
          <w:p w:rsidR="003374DC" w:rsidRPr="0022527E" w:rsidRDefault="003374DC" w:rsidP="0022527E">
            <w:pPr>
              <w:spacing w:after="0" w:line="240" w:lineRule="auto"/>
              <w:jc w:val="center"/>
              <w:rPr>
                <w:rFonts w:asciiTheme="minorHAnsi" w:eastAsia="Times New Roman" w:hAnsiTheme="minorHAnsi"/>
                <w:b/>
                <w:bCs/>
                <w:sz w:val="20"/>
                <w:szCs w:val="20"/>
                <w:lang w:eastAsia="en-GB"/>
              </w:rPr>
            </w:pPr>
            <w:r w:rsidRPr="0022527E">
              <w:rPr>
                <w:rFonts w:asciiTheme="minorHAnsi" w:eastAsia="Times New Roman" w:hAnsiTheme="minorHAnsi"/>
                <w:b/>
                <w:bCs/>
                <w:sz w:val="20"/>
                <w:szCs w:val="20"/>
                <w:lang w:eastAsia="en-GB"/>
              </w:rPr>
              <w:t>Bursary</w:t>
            </w:r>
          </w:p>
        </w:tc>
        <w:tc>
          <w:tcPr>
            <w:tcW w:w="545" w:type="pct"/>
            <w:vAlign w:val="center"/>
            <w:hideMark/>
          </w:tcPr>
          <w:p w:rsidR="003374DC" w:rsidRPr="0022527E" w:rsidRDefault="003374DC" w:rsidP="0022527E">
            <w:pPr>
              <w:spacing w:after="0" w:line="240" w:lineRule="auto"/>
              <w:jc w:val="center"/>
              <w:rPr>
                <w:rFonts w:asciiTheme="minorHAnsi" w:eastAsia="Times New Roman" w:hAnsiTheme="minorHAnsi"/>
                <w:b/>
                <w:bCs/>
                <w:sz w:val="20"/>
                <w:szCs w:val="20"/>
                <w:lang w:eastAsia="en-GB"/>
              </w:rPr>
            </w:pPr>
            <w:r w:rsidRPr="0022527E">
              <w:rPr>
                <w:rFonts w:asciiTheme="minorHAnsi" w:eastAsia="Times New Roman" w:hAnsiTheme="minorHAnsi"/>
                <w:b/>
                <w:bCs/>
                <w:sz w:val="20"/>
                <w:szCs w:val="20"/>
                <w:lang w:eastAsia="en-GB"/>
              </w:rPr>
              <w:t>Loan</w:t>
            </w:r>
          </w:p>
        </w:tc>
        <w:tc>
          <w:tcPr>
            <w:tcW w:w="697" w:type="pct"/>
            <w:vAlign w:val="center"/>
            <w:hideMark/>
          </w:tcPr>
          <w:p w:rsidR="003374DC" w:rsidRPr="0022527E" w:rsidRDefault="003374DC" w:rsidP="0022527E">
            <w:pPr>
              <w:spacing w:after="0" w:line="240" w:lineRule="auto"/>
              <w:jc w:val="center"/>
              <w:rPr>
                <w:rFonts w:asciiTheme="minorHAnsi" w:eastAsia="Times New Roman" w:hAnsiTheme="minorHAnsi"/>
                <w:b/>
                <w:bCs/>
                <w:sz w:val="20"/>
                <w:szCs w:val="20"/>
                <w:lang w:eastAsia="en-GB"/>
              </w:rPr>
            </w:pPr>
            <w:r w:rsidRPr="0022527E">
              <w:rPr>
                <w:rFonts w:asciiTheme="minorHAnsi" w:eastAsia="Times New Roman" w:hAnsiTheme="minorHAnsi"/>
                <w:b/>
                <w:bCs/>
                <w:sz w:val="20"/>
                <w:szCs w:val="20"/>
                <w:lang w:eastAsia="en-GB"/>
              </w:rPr>
              <w:t>Total</w:t>
            </w:r>
          </w:p>
        </w:tc>
        <w:tc>
          <w:tcPr>
            <w:tcW w:w="697" w:type="pct"/>
          </w:tcPr>
          <w:p w:rsidR="003374DC" w:rsidRPr="0022527E" w:rsidRDefault="003374DC" w:rsidP="0022527E">
            <w:pPr>
              <w:spacing w:after="0" w:line="240" w:lineRule="auto"/>
              <w:jc w:val="center"/>
              <w:rPr>
                <w:rFonts w:asciiTheme="minorHAnsi" w:eastAsia="Times New Roman" w:hAnsiTheme="minorHAnsi"/>
                <w:b/>
                <w:bCs/>
                <w:sz w:val="20"/>
                <w:szCs w:val="20"/>
                <w:lang w:eastAsia="en-GB"/>
              </w:rPr>
            </w:pPr>
            <w:r w:rsidRPr="0022527E">
              <w:rPr>
                <w:rFonts w:asciiTheme="minorHAnsi" w:eastAsia="Times New Roman" w:hAnsiTheme="minorHAnsi"/>
                <w:b/>
                <w:bCs/>
                <w:sz w:val="20"/>
                <w:szCs w:val="20"/>
                <w:lang w:eastAsia="en-GB"/>
              </w:rPr>
              <w:t>% as loan</w:t>
            </w:r>
          </w:p>
        </w:tc>
        <w:tc>
          <w:tcPr>
            <w:tcW w:w="686" w:type="pct"/>
          </w:tcPr>
          <w:p w:rsidR="005117D3" w:rsidRDefault="005117D3" w:rsidP="0022527E">
            <w:pPr>
              <w:spacing w:after="0" w:line="240" w:lineRule="auto"/>
              <w:jc w:val="center"/>
              <w:rPr>
                <w:rFonts w:asciiTheme="minorHAnsi" w:eastAsia="Times New Roman" w:hAnsiTheme="minorHAnsi"/>
                <w:b/>
                <w:bCs/>
                <w:sz w:val="20"/>
                <w:szCs w:val="20"/>
                <w:lang w:eastAsia="en-GB"/>
              </w:rPr>
            </w:pPr>
            <w:r>
              <w:rPr>
                <w:rFonts w:asciiTheme="minorHAnsi" w:eastAsia="Times New Roman" w:hAnsiTheme="minorHAnsi"/>
                <w:b/>
                <w:bCs/>
                <w:sz w:val="20"/>
                <w:szCs w:val="20"/>
                <w:lang w:eastAsia="en-GB"/>
              </w:rPr>
              <w:t xml:space="preserve">Implied </w:t>
            </w:r>
          </w:p>
          <w:p w:rsidR="003374DC" w:rsidRPr="0022527E" w:rsidRDefault="003374DC" w:rsidP="0022527E">
            <w:pPr>
              <w:spacing w:after="0" w:line="240" w:lineRule="auto"/>
              <w:jc w:val="center"/>
              <w:rPr>
                <w:rFonts w:asciiTheme="minorHAnsi" w:eastAsia="Times New Roman" w:hAnsiTheme="minorHAnsi"/>
                <w:b/>
                <w:bCs/>
                <w:sz w:val="20"/>
                <w:szCs w:val="20"/>
                <w:lang w:eastAsia="en-GB"/>
              </w:rPr>
            </w:pPr>
            <w:r>
              <w:rPr>
                <w:rFonts w:asciiTheme="minorHAnsi" w:eastAsia="Times New Roman" w:hAnsiTheme="minorHAnsi"/>
                <w:b/>
                <w:bCs/>
                <w:sz w:val="20"/>
                <w:szCs w:val="20"/>
                <w:lang w:eastAsia="en-GB"/>
              </w:rPr>
              <w:t>4 yr debt</w:t>
            </w:r>
          </w:p>
        </w:tc>
      </w:tr>
      <w:tr w:rsidR="003374DC" w:rsidRPr="0022527E" w:rsidTr="007A42ED">
        <w:trPr>
          <w:tblCellSpacing w:w="15" w:type="dxa"/>
        </w:trPr>
        <w:tc>
          <w:tcPr>
            <w:tcW w:w="163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£0 to £16,999</w:t>
            </w:r>
            <w:r>
              <w:rPr>
                <w:rFonts w:asciiTheme="minorHAnsi" w:eastAsia="Times New Roman" w:hAnsiTheme="minorHAnsi"/>
                <w:sz w:val="20"/>
                <w:szCs w:val="20"/>
                <w:lang w:eastAsia="en-GB"/>
              </w:rPr>
              <w:t xml:space="preserve"> (young)</w:t>
            </w:r>
          </w:p>
        </w:tc>
        <w:tc>
          <w:tcPr>
            <w:tcW w:w="589"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£1,750</w:t>
            </w:r>
          </w:p>
        </w:tc>
        <w:tc>
          <w:tcPr>
            <w:tcW w:w="54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£5,750</w:t>
            </w:r>
          </w:p>
        </w:tc>
        <w:tc>
          <w:tcPr>
            <w:tcW w:w="697"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£7,500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77%</w:t>
            </w:r>
          </w:p>
        </w:tc>
        <w:tc>
          <w:tcPr>
            <w:tcW w:w="686"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£23,000</w:t>
            </w:r>
          </w:p>
        </w:tc>
      </w:tr>
      <w:tr w:rsidR="003374DC" w:rsidRPr="0022527E" w:rsidTr="007A42ED">
        <w:trPr>
          <w:tblCellSpacing w:w="15" w:type="dxa"/>
        </w:trPr>
        <w:tc>
          <w:tcPr>
            <w:tcW w:w="1635" w:type="pct"/>
            <w:vAlign w:val="center"/>
          </w:tcPr>
          <w:p w:rsidR="003374DC" w:rsidRPr="0022527E" w:rsidRDefault="003374DC" w:rsidP="003374DC">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£0 to £16,999</w:t>
            </w:r>
            <w:r>
              <w:rPr>
                <w:rFonts w:asciiTheme="minorHAnsi" w:eastAsia="Times New Roman" w:hAnsiTheme="minorHAnsi"/>
                <w:sz w:val="20"/>
                <w:szCs w:val="20"/>
                <w:lang w:eastAsia="en-GB"/>
              </w:rPr>
              <w:t xml:space="preserve"> (mature)</w:t>
            </w:r>
          </w:p>
        </w:tc>
        <w:tc>
          <w:tcPr>
            <w:tcW w:w="589"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£750</w:t>
            </w:r>
          </w:p>
        </w:tc>
        <w:tc>
          <w:tcPr>
            <w:tcW w:w="545"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£6,750</w:t>
            </w:r>
          </w:p>
        </w:tc>
        <w:tc>
          <w:tcPr>
            <w:tcW w:w="697"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£7,500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90%</w:t>
            </w:r>
          </w:p>
        </w:tc>
        <w:tc>
          <w:tcPr>
            <w:tcW w:w="686" w:type="pct"/>
          </w:tcPr>
          <w:p w:rsidR="003374DC"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£27,000</w:t>
            </w:r>
          </w:p>
        </w:tc>
      </w:tr>
      <w:tr w:rsidR="003374DC" w:rsidRPr="0022527E" w:rsidTr="007A42ED">
        <w:trPr>
          <w:tblCellSpacing w:w="15" w:type="dxa"/>
        </w:trPr>
        <w:tc>
          <w:tcPr>
            <w:tcW w:w="163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£17,000 to £23,999</w:t>
            </w:r>
            <w:r>
              <w:rPr>
                <w:rFonts w:asciiTheme="minorHAnsi" w:eastAsia="Times New Roman" w:hAnsiTheme="minorHAnsi"/>
                <w:sz w:val="20"/>
                <w:szCs w:val="20"/>
                <w:lang w:eastAsia="en-GB"/>
              </w:rPr>
              <w:t xml:space="preserve"> (young)</w:t>
            </w:r>
          </w:p>
        </w:tc>
        <w:tc>
          <w:tcPr>
            <w:tcW w:w="589"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£1,000</w:t>
            </w:r>
          </w:p>
        </w:tc>
        <w:tc>
          <w:tcPr>
            <w:tcW w:w="54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£5,750</w:t>
            </w:r>
          </w:p>
        </w:tc>
        <w:tc>
          <w:tcPr>
            <w:tcW w:w="697"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£6,750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85%</w:t>
            </w:r>
          </w:p>
        </w:tc>
        <w:tc>
          <w:tcPr>
            <w:tcW w:w="686"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£23,000</w:t>
            </w:r>
          </w:p>
        </w:tc>
      </w:tr>
      <w:tr w:rsidR="003374DC" w:rsidRPr="0022527E" w:rsidTr="007A42ED">
        <w:trPr>
          <w:tblCellSpacing w:w="15" w:type="dxa"/>
        </w:trPr>
        <w:tc>
          <w:tcPr>
            <w:tcW w:w="1635" w:type="pct"/>
            <w:vAlign w:val="center"/>
          </w:tcPr>
          <w:p w:rsidR="003374DC" w:rsidRPr="0022527E" w:rsidRDefault="003374DC" w:rsidP="003374DC">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£17,000 to £23,999</w:t>
            </w:r>
            <w:r>
              <w:rPr>
                <w:rFonts w:asciiTheme="minorHAnsi" w:eastAsia="Times New Roman" w:hAnsiTheme="minorHAnsi"/>
                <w:sz w:val="20"/>
                <w:szCs w:val="20"/>
                <w:lang w:eastAsia="en-GB"/>
              </w:rPr>
              <w:t xml:space="preserve"> (mature)</w:t>
            </w:r>
          </w:p>
        </w:tc>
        <w:tc>
          <w:tcPr>
            <w:tcW w:w="589"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£0</w:t>
            </w:r>
          </w:p>
        </w:tc>
        <w:tc>
          <w:tcPr>
            <w:tcW w:w="545"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£6,750</w:t>
            </w:r>
          </w:p>
        </w:tc>
        <w:tc>
          <w:tcPr>
            <w:tcW w:w="697"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£6,750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100%</w:t>
            </w:r>
          </w:p>
        </w:tc>
        <w:tc>
          <w:tcPr>
            <w:tcW w:w="686" w:type="pct"/>
          </w:tcPr>
          <w:p w:rsidR="003374DC"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£27,000</w:t>
            </w:r>
          </w:p>
        </w:tc>
      </w:tr>
      <w:tr w:rsidR="003374DC" w:rsidRPr="0022527E" w:rsidTr="007A42ED">
        <w:trPr>
          <w:tblCellSpacing w:w="15" w:type="dxa"/>
        </w:trPr>
        <w:tc>
          <w:tcPr>
            <w:tcW w:w="163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£24,000 to £33,999</w:t>
            </w:r>
            <w:r>
              <w:rPr>
                <w:rFonts w:asciiTheme="minorHAnsi" w:eastAsia="Times New Roman" w:hAnsiTheme="minorHAnsi"/>
                <w:sz w:val="20"/>
                <w:szCs w:val="20"/>
                <w:lang w:eastAsia="en-GB"/>
              </w:rPr>
              <w:t xml:space="preserve"> (young)</w:t>
            </w:r>
          </w:p>
        </w:tc>
        <w:tc>
          <w:tcPr>
            <w:tcW w:w="589"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£500</w:t>
            </w:r>
          </w:p>
        </w:tc>
        <w:tc>
          <w:tcPr>
            <w:tcW w:w="54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£5,750</w:t>
            </w:r>
          </w:p>
        </w:tc>
        <w:tc>
          <w:tcPr>
            <w:tcW w:w="697"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£6,250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92%</w:t>
            </w:r>
          </w:p>
        </w:tc>
        <w:tc>
          <w:tcPr>
            <w:tcW w:w="686"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£23,000</w:t>
            </w:r>
          </w:p>
        </w:tc>
      </w:tr>
      <w:tr w:rsidR="003374DC" w:rsidRPr="0022527E" w:rsidTr="007A42ED">
        <w:trPr>
          <w:tblCellSpacing w:w="15" w:type="dxa"/>
        </w:trPr>
        <w:tc>
          <w:tcPr>
            <w:tcW w:w="1635" w:type="pct"/>
            <w:vAlign w:val="center"/>
          </w:tcPr>
          <w:p w:rsidR="003374DC" w:rsidRPr="0022527E" w:rsidRDefault="003374DC" w:rsidP="003374DC">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£24,000 to £33,999</w:t>
            </w:r>
            <w:r>
              <w:rPr>
                <w:rFonts w:asciiTheme="minorHAnsi" w:eastAsia="Times New Roman" w:hAnsiTheme="minorHAnsi"/>
                <w:sz w:val="20"/>
                <w:szCs w:val="20"/>
                <w:lang w:eastAsia="en-GB"/>
              </w:rPr>
              <w:t xml:space="preserve"> (mature)</w:t>
            </w:r>
          </w:p>
        </w:tc>
        <w:tc>
          <w:tcPr>
            <w:tcW w:w="589" w:type="pct"/>
            <w:vAlign w:val="center"/>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£0</w:t>
            </w:r>
          </w:p>
        </w:tc>
        <w:tc>
          <w:tcPr>
            <w:tcW w:w="545" w:type="pct"/>
            <w:vAlign w:val="center"/>
          </w:tcPr>
          <w:p w:rsidR="003374DC" w:rsidRPr="0022527E" w:rsidRDefault="005117D3"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£6,250</w:t>
            </w:r>
          </w:p>
        </w:tc>
        <w:tc>
          <w:tcPr>
            <w:tcW w:w="697" w:type="pct"/>
            <w:vAlign w:val="center"/>
          </w:tcPr>
          <w:p w:rsidR="003374DC" w:rsidRPr="0022527E" w:rsidRDefault="005117D3"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£6,250</w:t>
            </w:r>
          </w:p>
        </w:tc>
        <w:tc>
          <w:tcPr>
            <w:tcW w:w="697" w:type="pct"/>
          </w:tcPr>
          <w:p w:rsidR="003374DC" w:rsidRPr="0022527E" w:rsidRDefault="005117D3"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100%</w:t>
            </w:r>
          </w:p>
        </w:tc>
        <w:tc>
          <w:tcPr>
            <w:tcW w:w="686" w:type="pct"/>
          </w:tcPr>
          <w:p w:rsidR="003374DC" w:rsidRDefault="005117D3"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£25,000</w:t>
            </w:r>
          </w:p>
        </w:tc>
      </w:tr>
      <w:tr w:rsidR="003374DC" w:rsidRPr="0022527E" w:rsidTr="007A42ED">
        <w:trPr>
          <w:tblCellSpacing w:w="15" w:type="dxa"/>
        </w:trPr>
        <w:tc>
          <w:tcPr>
            <w:tcW w:w="163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£34,000 and above</w:t>
            </w:r>
          </w:p>
        </w:tc>
        <w:tc>
          <w:tcPr>
            <w:tcW w:w="589"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£0</w:t>
            </w:r>
          </w:p>
        </w:tc>
        <w:tc>
          <w:tcPr>
            <w:tcW w:w="545"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£4,750</w:t>
            </w:r>
          </w:p>
        </w:tc>
        <w:tc>
          <w:tcPr>
            <w:tcW w:w="697" w:type="pct"/>
            <w:vAlign w:val="center"/>
            <w:hideMark/>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£4,750</w:t>
            </w:r>
          </w:p>
        </w:tc>
        <w:tc>
          <w:tcPr>
            <w:tcW w:w="697" w:type="pct"/>
          </w:tcPr>
          <w:p w:rsidR="003374DC" w:rsidRPr="0022527E" w:rsidRDefault="003374DC" w:rsidP="0022527E">
            <w:pPr>
              <w:spacing w:after="0" w:line="240" w:lineRule="auto"/>
              <w:rPr>
                <w:rFonts w:asciiTheme="minorHAnsi" w:eastAsia="Times New Roman" w:hAnsiTheme="minorHAnsi"/>
                <w:sz w:val="20"/>
                <w:szCs w:val="20"/>
                <w:lang w:eastAsia="en-GB"/>
              </w:rPr>
            </w:pPr>
            <w:r w:rsidRPr="0022527E">
              <w:rPr>
                <w:rFonts w:asciiTheme="minorHAnsi" w:eastAsia="Times New Roman" w:hAnsiTheme="minorHAnsi"/>
                <w:sz w:val="20"/>
                <w:szCs w:val="20"/>
                <w:lang w:eastAsia="en-GB"/>
              </w:rPr>
              <w:t>100%</w:t>
            </w:r>
          </w:p>
        </w:tc>
        <w:tc>
          <w:tcPr>
            <w:tcW w:w="686" w:type="pct"/>
          </w:tcPr>
          <w:p w:rsidR="003374DC" w:rsidRPr="0022527E" w:rsidRDefault="003374DC" w:rsidP="0022527E">
            <w:pPr>
              <w:spacing w:after="0" w:line="240" w:lineRule="auto"/>
              <w:rPr>
                <w:rFonts w:asciiTheme="minorHAnsi" w:eastAsia="Times New Roman" w:hAnsiTheme="minorHAnsi"/>
                <w:sz w:val="20"/>
                <w:szCs w:val="20"/>
                <w:lang w:eastAsia="en-GB"/>
              </w:rPr>
            </w:pPr>
            <w:r>
              <w:rPr>
                <w:rFonts w:asciiTheme="minorHAnsi" w:eastAsia="Times New Roman" w:hAnsiTheme="minorHAnsi"/>
                <w:sz w:val="20"/>
                <w:szCs w:val="20"/>
                <w:lang w:eastAsia="en-GB"/>
              </w:rPr>
              <w:t>£19,000</w:t>
            </w:r>
          </w:p>
        </w:tc>
      </w:tr>
    </w:tbl>
    <w:p w:rsidR="00DA0405" w:rsidRDefault="00DA0405"/>
    <w:p w:rsidR="00445D32" w:rsidRDefault="003F4FC0">
      <w:r>
        <w:t>Data</w:t>
      </w:r>
      <w:r w:rsidR="00445D32">
        <w:t xml:space="preserve"> produced in respon</w:t>
      </w:r>
      <w:r w:rsidR="00C87DC6">
        <w:t>s</w:t>
      </w:r>
      <w:r w:rsidR="00445D32">
        <w:t>e to parliamentary question</w:t>
      </w:r>
      <w:r w:rsidR="00AC0B80">
        <w:t>s</w:t>
      </w:r>
      <w:r w:rsidR="00445D32">
        <w:t xml:space="preserve"> in February 2015</w:t>
      </w:r>
      <w:r>
        <w:t xml:space="preserve"> </w:t>
      </w:r>
      <w:r w:rsidR="00C4154F">
        <w:t>reveals</w:t>
      </w:r>
      <w:r>
        <w:t xml:space="preserve"> </w:t>
      </w:r>
      <w:r w:rsidR="005117D3">
        <w:t>a</w:t>
      </w:r>
      <w:r>
        <w:t xml:space="preserve"> potential difficulty with this approach</w:t>
      </w:r>
      <w:r w:rsidR="00445D32">
        <w:t>.</w:t>
      </w:r>
    </w:p>
    <w:p w:rsidR="003F4FC0" w:rsidRDefault="005117D3" w:rsidP="003F4FC0">
      <w:r>
        <w:t>In</w:t>
      </w:r>
      <w:r w:rsidR="003F4FC0">
        <w:t xml:space="preserve"> 2013-14</w:t>
      </w:r>
      <w:r>
        <w:t xml:space="preserve">, the most recent year for which figures are available, </w:t>
      </w:r>
      <w:r w:rsidRPr="005117D3">
        <w:rPr>
          <w:rStyle w:val="Strong"/>
          <w:b w:val="0"/>
        </w:rPr>
        <w:t>showed that</w:t>
      </w:r>
      <w:r w:rsidR="003F4FC0">
        <w:t xml:space="preserve"> 34,670 students were </w:t>
      </w:r>
      <w:r>
        <w:t xml:space="preserve">on the maximum grant and therefore in theory </w:t>
      </w:r>
      <w:r w:rsidR="003F4FC0">
        <w:t xml:space="preserve">able to claim </w:t>
      </w:r>
      <w:r>
        <w:t>the maximum support</w:t>
      </w:r>
      <w:r w:rsidR="006D4FE5">
        <w:t xml:space="preserve"> (the “minimum income guarantee”)</w:t>
      </w:r>
      <w:r>
        <w:t xml:space="preserve">, worth </w:t>
      </w:r>
      <w:r w:rsidR="003F4FC0">
        <w:t>£7,</w:t>
      </w:r>
      <w:r w:rsidR="00F14CD6">
        <w:t>25</w:t>
      </w:r>
      <w:r w:rsidR="003F4FC0">
        <w:t>0</w:t>
      </w:r>
      <w:r>
        <w:t xml:space="preserve"> that year.  </w:t>
      </w:r>
      <w:r w:rsidR="004F14D4">
        <w:t xml:space="preserve">However, </w:t>
      </w:r>
      <w:r w:rsidR="006D4FE5">
        <w:t xml:space="preserve">only 25,130 </w:t>
      </w:r>
      <w:r>
        <w:t xml:space="preserve">actually </w:t>
      </w:r>
      <w:r w:rsidR="00C4154F">
        <w:t>r</w:t>
      </w:r>
      <w:r>
        <w:t>eceive</w:t>
      </w:r>
      <w:r w:rsidR="00C4154F">
        <w:t>d</w:t>
      </w:r>
      <w:r>
        <w:t xml:space="preserve"> maximum support</w:t>
      </w:r>
      <w:r w:rsidR="00C4154F">
        <w:t xml:space="preserve"> in practice</w:t>
      </w:r>
      <w:r>
        <w:t xml:space="preserve">. </w:t>
      </w:r>
      <w:r w:rsidR="00C4154F">
        <w:t xml:space="preserve"> In particular, only 66% of young students at the lowest incomes benefited from the maximum support.  Those who</w:t>
      </w:r>
      <w:r w:rsidR="00C4154F">
        <w:rPr>
          <w:rStyle w:val="Strong"/>
          <w:b w:val="0"/>
        </w:rPr>
        <w:t xml:space="preserve"> did not cannot have been taking </w:t>
      </w:r>
      <w:r>
        <w:t xml:space="preserve">out the full loan required.    </w:t>
      </w:r>
    </w:p>
    <w:tbl>
      <w:tblPr>
        <w:tblW w:w="8662" w:type="dxa"/>
        <w:tblInd w:w="93" w:type="dxa"/>
        <w:tblLook w:val="04A0" w:firstRow="1" w:lastRow="0" w:firstColumn="1" w:lastColumn="0" w:noHBand="0" w:noVBand="1"/>
      </w:tblPr>
      <w:tblGrid>
        <w:gridCol w:w="1840"/>
        <w:gridCol w:w="2144"/>
        <w:gridCol w:w="2268"/>
        <w:gridCol w:w="2410"/>
      </w:tblGrid>
      <w:tr w:rsidR="00C4154F" w:rsidRPr="00C4154F" w:rsidTr="00C4154F">
        <w:trPr>
          <w:trHeight w:val="1200"/>
        </w:trPr>
        <w:tc>
          <w:tcPr>
            <w:tcW w:w="1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 </w:t>
            </w:r>
          </w:p>
        </w:tc>
        <w:tc>
          <w:tcPr>
            <w:tcW w:w="2144" w:type="dxa"/>
            <w:tcBorders>
              <w:top w:val="single" w:sz="4" w:space="0" w:color="auto"/>
              <w:left w:val="nil"/>
              <w:bottom w:val="single" w:sz="4" w:space="0" w:color="auto"/>
              <w:right w:val="single" w:sz="4" w:space="0" w:color="auto"/>
            </w:tcBorders>
            <w:shd w:val="clear" w:color="auto" w:fill="auto"/>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 xml:space="preserve">Actual  on full grant </w:t>
            </w:r>
          </w:p>
        </w:tc>
        <w:tc>
          <w:tcPr>
            <w:tcW w:w="2268" w:type="dxa"/>
            <w:tcBorders>
              <w:top w:val="single" w:sz="4" w:space="0" w:color="auto"/>
              <w:left w:val="nil"/>
              <w:bottom w:val="single" w:sz="4" w:space="0" w:color="auto"/>
              <w:right w:val="single" w:sz="4" w:space="0" w:color="auto"/>
            </w:tcBorders>
            <w:shd w:val="clear" w:color="auto" w:fill="auto"/>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 xml:space="preserve">Actual on </w:t>
            </w:r>
            <w:r>
              <w:rPr>
                <w:rFonts w:eastAsia="Times New Roman"/>
                <w:color w:val="000000"/>
                <w:lang w:eastAsia="en-GB"/>
              </w:rPr>
              <w:t>maximum living cost support</w:t>
            </w:r>
          </w:p>
        </w:tc>
        <w:tc>
          <w:tcPr>
            <w:tcW w:w="2410" w:type="dxa"/>
            <w:tcBorders>
              <w:top w:val="single" w:sz="4" w:space="0" w:color="auto"/>
              <w:left w:val="nil"/>
              <w:bottom w:val="single" w:sz="4" w:space="0" w:color="auto"/>
              <w:right w:val="single" w:sz="4" w:space="0" w:color="auto"/>
            </w:tcBorders>
            <w:shd w:val="clear" w:color="auto" w:fill="auto"/>
            <w:noWrap/>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w:t>
            </w:r>
            <w:r>
              <w:rPr>
                <w:rFonts w:eastAsia="Times New Roman"/>
                <w:color w:val="000000"/>
                <w:lang w:eastAsia="en-GB"/>
              </w:rPr>
              <w:t xml:space="preserve"> take up of maximum living cost support</w:t>
            </w:r>
          </w:p>
        </w:tc>
      </w:tr>
      <w:tr w:rsidR="00C4154F" w:rsidRPr="00C4154F" w:rsidTr="00C4154F">
        <w:trPr>
          <w:trHeight w:val="3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YSB claimants</w:t>
            </w:r>
          </w:p>
        </w:tc>
        <w:tc>
          <w:tcPr>
            <w:tcW w:w="2144" w:type="dxa"/>
            <w:tcBorders>
              <w:top w:val="nil"/>
              <w:left w:val="nil"/>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17,330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4154F" w:rsidRPr="00C4154F" w:rsidRDefault="009729DE" w:rsidP="00C4154F">
            <w:pPr>
              <w:spacing w:after="0" w:line="240" w:lineRule="auto"/>
              <w:jc w:val="right"/>
              <w:rPr>
                <w:rFonts w:eastAsia="Times New Roman"/>
                <w:color w:val="000000"/>
                <w:lang w:eastAsia="en-GB"/>
              </w:rPr>
            </w:pPr>
            <w:r>
              <w:rPr>
                <w:rFonts w:eastAsia="Times New Roman"/>
                <w:color w:val="000000"/>
                <w:lang w:eastAsia="en-GB"/>
              </w:rPr>
              <w:t>11,485</w:t>
            </w:r>
          </w:p>
        </w:tc>
        <w:tc>
          <w:tcPr>
            <w:tcW w:w="2410" w:type="dxa"/>
            <w:tcBorders>
              <w:top w:val="nil"/>
              <w:left w:val="nil"/>
              <w:bottom w:val="single" w:sz="4" w:space="0" w:color="auto"/>
              <w:right w:val="single" w:sz="4" w:space="0" w:color="auto"/>
            </w:tcBorders>
            <w:shd w:val="clear" w:color="auto" w:fill="auto"/>
            <w:noWrap/>
            <w:vAlign w:val="bottom"/>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66%</w:t>
            </w:r>
          </w:p>
        </w:tc>
      </w:tr>
      <w:tr w:rsidR="00C4154F" w:rsidRPr="00C4154F" w:rsidTr="00C4154F">
        <w:trPr>
          <w:trHeight w:val="3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ISB claimants</w:t>
            </w:r>
          </w:p>
        </w:tc>
        <w:tc>
          <w:tcPr>
            <w:tcW w:w="2144" w:type="dxa"/>
            <w:tcBorders>
              <w:top w:val="nil"/>
              <w:left w:val="nil"/>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17,340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13,645</w:t>
            </w:r>
          </w:p>
        </w:tc>
        <w:tc>
          <w:tcPr>
            <w:tcW w:w="2410" w:type="dxa"/>
            <w:tcBorders>
              <w:top w:val="nil"/>
              <w:left w:val="nil"/>
              <w:bottom w:val="single" w:sz="4" w:space="0" w:color="auto"/>
              <w:right w:val="single" w:sz="4" w:space="0" w:color="auto"/>
            </w:tcBorders>
            <w:shd w:val="clear" w:color="auto" w:fill="auto"/>
            <w:noWrap/>
            <w:vAlign w:val="bottom"/>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79%</w:t>
            </w:r>
          </w:p>
        </w:tc>
      </w:tr>
      <w:tr w:rsidR="00C4154F" w:rsidRPr="00C4154F" w:rsidTr="00C4154F">
        <w:trPr>
          <w:trHeight w:val="3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rPr>
                <w:rFonts w:eastAsia="Times New Roman"/>
                <w:color w:val="000000"/>
                <w:lang w:eastAsia="en-GB"/>
              </w:rPr>
            </w:pPr>
            <w:r w:rsidRPr="00C4154F">
              <w:rPr>
                <w:rFonts w:eastAsia="Times New Roman"/>
                <w:color w:val="000000"/>
                <w:lang w:eastAsia="en-GB"/>
              </w:rPr>
              <w:t>Total</w:t>
            </w:r>
          </w:p>
        </w:tc>
        <w:tc>
          <w:tcPr>
            <w:tcW w:w="2144" w:type="dxa"/>
            <w:tcBorders>
              <w:top w:val="nil"/>
              <w:left w:val="nil"/>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34,670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25,130</w:t>
            </w:r>
          </w:p>
        </w:tc>
        <w:tc>
          <w:tcPr>
            <w:tcW w:w="2410" w:type="dxa"/>
            <w:tcBorders>
              <w:top w:val="nil"/>
              <w:left w:val="nil"/>
              <w:bottom w:val="single" w:sz="4" w:space="0" w:color="auto"/>
              <w:right w:val="single" w:sz="4" w:space="0" w:color="auto"/>
            </w:tcBorders>
            <w:shd w:val="clear" w:color="auto" w:fill="auto"/>
            <w:noWrap/>
            <w:vAlign w:val="bottom"/>
            <w:hideMark/>
          </w:tcPr>
          <w:p w:rsidR="00C4154F" w:rsidRPr="00C4154F" w:rsidRDefault="00C4154F" w:rsidP="00C4154F">
            <w:pPr>
              <w:spacing w:after="0" w:line="240" w:lineRule="auto"/>
              <w:jc w:val="right"/>
              <w:rPr>
                <w:rFonts w:eastAsia="Times New Roman"/>
                <w:color w:val="000000"/>
                <w:lang w:eastAsia="en-GB"/>
              </w:rPr>
            </w:pPr>
            <w:r w:rsidRPr="00C4154F">
              <w:rPr>
                <w:rFonts w:eastAsia="Times New Roman"/>
                <w:color w:val="000000"/>
                <w:lang w:eastAsia="en-GB"/>
              </w:rPr>
              <w:t>72%</w:t>
            </w:r>
          </w:p>
        </w:tc>
      </w:tr>
    </w:tbl>
    <w:p w:rsidR="005117D3" w:rsidRDefault="005117D3" w:rsidP="003F4FC0"/>
    <w:p w:rsidR="00FD30F2" w:rsidRDefault="002F2DCA" w:rsidP="003F4FC0">
      <w:pPr>
        <w:rPr>
          <w:b/>
        </w:rPr>
      </w:pPr>
      <w:r>
        <w:t xml:space="preserve">Other information from these PQs shows that of those </w:t>
      </w:r>
      <w:r w:rsidRPr="005117D3">
        <w:t>on any level of grant,</w:t>
      </w:r>
      <w:r>
        <w:t xml:space="preserve"> o</w:t>
      </w:r>
      <w:r w:rsidR="003F4FC0">
        <w:t>nly 2,075 took out a loan worth less than the maximum</w:t>
      </w:r>
      <w:r w:rsidR="006D4FE5">
        <w:t>, while a</w:t>
      </w:r>
      <w:r w:rsidR="003F4FC0">
        <w:t xml:space="preserve"> further </w:t>
      </w:r>
      <w:r w:rsidR="003F4FC0" w:rsidRPr="005117D3">
        <w:rPr>
          <w:i/>
        </w:rPr>
        <w:t xml:space="preserve">10,710 </w:t>
      </w:r>
      <w:r w:rsidR="003F4FC0" w:rsidRPr="006D4FE5">
        <w:t>of all students on a grant borrowed nothing</w:t>
      </w:r>
      <w:r w:rsidR="00646E86">
        <w:t xml:space="preserve"> (see table below)</w:t>
      </w:r>
      <w:r w:rsidR="003F4FC0">
        <w:t>.</w:t>
      </w:r>
      <w:r w:rsidR="005117D3">
        <w:t xml:space="preserve">  </w:t>
      </w:r>
      <w:r w:rsidR="006D4FE5">
        <w:rPr>
          <w:b/>
        </w:rPr>
        <w:t>M</w:t>
      </w:r>
      <w:r w:rsidR="005117D3" w:rsidRPr="004F14D4">
        <w:rPr>
          <w:b/>
        </w:rPr>
        <w:t xml:space="preserve">ost of those who could in theory have received £7,250, but did not, must have borrowed nothing. </w:t>
      </w:r>
    </w:p>
    <w:p w:rsidR="00646E86" w:rsidRPr="009729DE" w:rsidRDefault="00646E86" w:rsidP="00646E86">
      <w:r w:rsidRPr="009729DE">
        <w:t>That means that of the 9,540 students who did not take up the</w:t>
      </w:r>
      <w:r>
        <w:t>ir</w:t>
      </w:r>
      <w:r w:rsidRPr="009729DE">
        <w:t xml:space="preserve"> full £7,250 of support, the vast majority limited themselves to £1,750 or £750 in grant, depending on whether they were young or mature.  That </w:t>
      </w:r>
      <w:r>
        <w:t xml:space="preserve">suggests that </w:t>
      </w:r>
      <w:r w:rsidRPr="009729DE">
        <w:rPr>
          <w:b/>
        </w:rPr>
        <w:t>somewhere between one-fifth and one-quarter of the lowest-income students were attempting to manage on their grant alone</w:t>
      </w:r>
      <w:r w:rsidRPr="009729DE">
        <w:t>.</w:t>
      </w:r>
    </w:p>
    <w:tbl>
      <w:tblPr>
        <w:tblW w:w="7953" w:type="dxa"/>
        <w:tblInd w:w="93" w:type="dxa"/>
        <w:tblLook w:val="04A0" w:firstRow="1" w:lastRow="0" w:firstColumn="1" w:lastColumn="0" w:noHBand="0" w:noVBand="1"/>
      </w:tblPr>
      <w:tblGrid>
        <w:gridCol w:w="1840"/>
        <w:gridCol w:w="960"/>
        <w:gridCol w:w="1184"/>
        <w:gridCol w:w="829"/>
        <w:gridCol w:w="1220"/>
        <w:gridCol w:w="960"/>
        <w:gridCol w:w="960"/>
      </w:tblGrid>
      <w:tr w:rsidR="00C4154F" w:rsidRPr="00FD30F2" w:rsidTr="007A42ED">
        <w:trPr>
          <w:trHeight w:val="900"/>
        </w:trPr>
        <w:tc>
          <w:tcPr>
            <w:tcW w:w="1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YSB</w:t>
            </w:r>
          </w:p>
        </w:tc>
        <w:tc>
          <w:tcPr>
            <w:tcW w:w="1184" w:type="dxa"/>
            <w:tcBorders>
              <w:top w:val="single" w:sz="4" w:space="0" w:color="auto"/>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i/>
                <w:iCs/>
                <w:color w:val="000000"/>
                <w:lang w:eastAsia="en-GB"/>
              </w:rPr>
            </w:pPr>
            <w:r w:rsidRPr="00FD30F2">
              <w:rPr>
                <w:rFonts w:eastAsia="Times New Roman"/>
                <w:i/>
                <w:iCs/>
                <w:color w:val="000000"/>
                <w:lang w:eastAsia="en-GB"/>
              </w:rPr>
              <w:t xml:space="preserve">% of </w:t>
            </w:r>
            <w:r>
              <w:rPr>
                <w:rFonts w:eastAsia="Times New Roman"/>
                <w:i/>
                <w:iCs/>
                <w:color w:val="000000"/>
                <w:lang w:eastAsia="en-GB"/>
              </w:rPr>
              <w:t xml:space="preserve">all </w:t>
            </w:r>
            <w:r w:rsidRPr="00FD30F2">
              <w:rPr>
                <w:rFonts w:eastAsia="Times New Roman"/>
                <w:i/>
                <w:iCs/>
                <w:color w:val="000000"/>
                <w:lang w:eastAsia="en-GB"/>
              </w:rPr>
              <w:t>YSB takers</w:t>
            </w:r>
          </w:p>
        </w:tc>
        <w:tc>
          <w:tcPr>
            <w:tcW w:w="829" w:type="dxa"/>
            <w:tcBorders>
              <w:top w:val="single" w:sz="4" w:space="0" w:color="auto"/>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ISB</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C4154F" w:rsidRDefault="00C4154F" w:rsidP="00FD30F2">
            <w:pPr>
              <w:spacing w:after="0" w:line="240" w:lineRule="auto"/>
              <w:rPr>
                <w:rFonts w:eastAsia="Times New Roman"/>
                <w:i/>
                <w:iCs/>
                <w:color w:val="000000"/>
                <w:lang w:eastAsia="en-GB"/>
              </w:rPr>
            </w:pPr>
            <w:r w:rsidRPr="00FD30F2">
              <w:rPr>
                <w:rFonts w:eastAsia="Times New Roman"/>
                <w:i/>
                <w:iCs/>
                <w:color w:val="000000"/>
                <w:lang w:eastAsia="en-GB"/>
              </w:rPr>
              <w:t xml:space="preserve">% of </w:t>
            </w:r>
            <w:r>
              <w:rPr>
                <w:rFonts w:eastAsia="Times New Roman"/>
                <w:i/>
                <w:iCs/>
                <w:color w:val="000000"/>
                <w:lang w:eastAsia="en-GB"/>
              </w:rPr>
              <w:t>all</w:t>
            </w:r>
          </w:p>
          <w:p w:rsidR="00C4154F" w:rsidRPr="00FD30F2" w:rsidRDefault="00C4154F" w:rsidP="00FD30F2">
            <w:pPr>
              <w:spacing w:after="0" w:line="240" w:lineRule="auto"/>
              <w:rPr>
                <w:rFonts w:eastAsia="Times New Roman"/>
                <w:i/>
                <w:iCs/>
                <w:color w:val="000000"/>
                <w:lang w:eastAsia="en-GB"/>
              </w:rPr>
            </w:pPr>
            <w:r w:rsidRPr="00FD30F2">
              <w:rPr>
                <w:rFonts w:eastAsia="Times New Roman"/>
                <w:i/>
                <w:iCs/>
                <w:color w:val="000000"/>
                <w:lang w:eastAsia="en-GB"/>
              </w:rPr>
              <w:t>ISB takers</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Total</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i/>
                <w:iCs/>
                <w:color w:val="000000"/>
                <w:lang w:eastAsia="en-GB"/>
              </w:rPr>
            </w:pPr>
            <w:r w:rsidRPr="00FD30F2">
              <w:rPr>
                <w:rFonts w:eastAsia="Times New Roman"/>
                <w:i/>
                <w:iCs/>
                <w:color w:val="000000"/>
                <w:lang w:eastAsia="en-GB"/>
              </w:rPr>
              <w:t>% all YSB/ISB takers</w:t>
            </w:r>
          </w:p>
        </w:tc>
      </w:tr>
      <w:tr w:rsidR="00C4154F" w:rsidRPr="00FD30F2" w:rsidTr="007A42ED">
        <w:trPr>
          <w:trHeight w:val="12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Taking no loan</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8,090</w:t>
            </w:r>
          </w:p>
        </w:tc>
        <w:tc>
          <w:tcPr>
            <w:tcW w:w="1184"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25</w:t>
            </w:r>
          </w:p>
        </w:tc>
        <w:tc>
          <w:tcPr>
            <w:tcW w:w="829"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2,620</w:t>
            </w:r>
          </w:p>
        </w:tc>
        <w:tc>
          <w:tcPr>
            <w:tcW w:w="122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15</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10,710</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21</w:t>
            </w:r>
          </w:p>
        </w:tc>
      </w:tr>
      <w:tr w:rsidR="00C4154F" w:rsidRPr="00FD30F2" w:rsidTr="007A42ED">
        <w:trPr>
          <w:trHeight w:val="9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Taking part of loan</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1,775</w:t>
            </w:r>
          </w:p>
        </w:tc>
        <w:tc>
          <w:tcPr>
            <w:tcW w:w="1184"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5</w:t>
            </w:r>
          </w:p>
        </w:tc>
        <w:tc>
          <w:tcPr>
            <w:tcW w:w="829"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300</w:t>
            </w:r>
          </w:p>
        </w:tc>
        <w:tc>
          <w:tcPr>
            <w:tcW w:w="122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2</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2,075</w:t>
            </w:r>
          </w:p>
        </w:tc>
        <w:tc>
          <w:tcPr>
            <w:tcW w:w="960" w:type="dxa"/>
            <w:tcBorders>
              <w:top w:val="nil"/>
              <w:left w:val="nil"/>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4</w:t>
            </w:r>
          </w:p>
        </w:tc>
      </w:tr>
      <w:tr w:rsidR="00C4154F" w:rsidRPr="00FD30F2" w:rsidTr="007A42ED">
        <w:trPr>
          <w:trHeight w:val="300"/>
        </w:trPr>
        <w:tc>
          <w:tcPr>
            <w:tcW w:w="1840" w:type="dxa"/>
            <w:tcBorders>
              <w:top w:val="nil"/>
              <w:left w:val="single" w:sz="4" w:space="0" w:color="auto"/>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Taking whole loan</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23,065</w:t>
            </w:r>
          </w:p>
        </w:tc>
        <w:tc>
          <w:tcPr>
            <w:tcW w:w="1184"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70</w:t>
            </w:r>
          </w:p>
        </w:tc>
        <w:tc>
          <w:tcPr>
            <w:tcW w:w="829"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14,480</w:t>
            </w:r>
          </w:p>
        </w:tc>
        <w:tc>
          <w:tcPr>
            <w:tcW w:w="122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83</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37,545</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75</w:t>
            </w:r>
          </w:p>
        </w:tc>
      </w:tr>
      <w:tr w:rsidR="00C4154F" w:rsidRPr="00FD30F2" w:rsidTr="007A42ED">
        <w:trPr>
          <w:trHeight w:val="300"/>
        </w:trPr>
        <w:tc>
          <w:tcPr>
            <w:tcW w:w="1840" w:type="dxa"/>
            <w:tcBorders>
              <w:top w:val="nil"/>
              <w:left w:val="single" w:sz="4" w:space="0" w:color="auto"/>
              <w:bottom w:val="single" w:sz="4" w:space="0" w:color="auto"/>
              <w:right w:val="single" w:sz="4" w:space="0" w:color="auto"/>
            </w:tcBorders>
            <w:shd w:val="clear" w:color="auto" w:fill="auto"/>
            <w:vAlign w:val="center"/>
          </w:tcPr>
          <w:p w:rsidR="00C4154F" w:rsidRPr="00FD30F2" w:rsidRDefault="00C4154F" w:rsidP="00FD30F2">
            <w:pPr>
              <w:spacing w:after="0" w:line="240" w:lineRule="auto"/>
              <w:rPr>
                <w:rFonts w:eastAsia="Times New Roman"/>
                <w:color w:val="000000"/>
                <w:lang w:eastAsia="en-GB"/>
              </w:rPr>
            </w:pPr>
          </w:p>
        </w:tc>
        <w:tc>
          <w:tcPr>
            <w:tcW w:w="960"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color w:val="000000"/>
                <w:lang w:eastAsia="en-GB"/>
              </w:rPr>
            </w:pPr>
          </w:p>
        </w:tc>
        <w:tc>
          <w:tcPr>
            <w:tcW w:w="1184"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i/>
                <w:iCs/>
                <w:color w:val="000000"/>
                <w:lang w:eastAsia="en-GB"/>
              </w:rPr>
            </w:pPr>
          </w:p>
        </w:tc>
        <w:tc>
          <w:tcPr>
            <w:tcW w:w="829"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color w:val="000000"/>
                <w:lang w:eastAsia="en-GB"/>
              </w:rPr>
            </w:pPr>
          </w:p>
        </w:tc>
        <w:tc>
          <w:tcPr>
            <w:tcW w:w="1220"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i/>
                <w:iCs/>
                <w:color w:val="000000"/>
                <w:lang w:eastAsia="en-GB"/>
              </w:rPr>
            </w:pPr>
          </w:p>
        </w:tc>
        <w:tc>
          <w:tcPr>
            <w:tcW w:w="960"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color w:val="000000"/>
                <w:lang w:eastAsia="en-GB"/>
              </w:rPr>
            </w:pPr>
          </w:p>
        </w:tc>
        <w:tc>
          <w:tcPr>
            <w:tcW w:w="960" w:type="dxa"/>
            <w:tcBorders>
              <w:top w:val="nil"/>
              <w:left w:val="nil"/>
              <w:bottom w:val="single" w:sz="4" w:space="0" w:color="auto"/>
              <w:right w:val="single" w:sz="4" w:space="0" w:color="auto"/>
            </w:tcBorders>
            <w:shd w:val="clear" w:color="auto" w:fill="auto"/>
            <w:noWrap/>
            <w:vAlign w:val="bottom"/>
          </w:tcPr>
          <w:p w:rsidR="00C4154F" w:rsidRPr="00FD30F2" w:rsidRDefault="00C4154F" w:rsidP="00FD30F2">
            <w:pPr>
              <w:spacing w:after="0" w:line="240" w:lineRule="auto"/>
              <w:jc w:val="right"/>
              <w:rPr>
                <w:rFonts w:eastAsia="Times New Roman"/>
                <w:i/>
                <w:iCs/>
                <w:color w:val="000000"/>
                <w:lang w:eastAsia="en-GB"/>
              </w:rPr>
            </w:pPr>
          </w:p>
        </w:tc>
      </w:tr>
      <w:tr w:rsidR="00C4154F" w:rsidRPr="00FD30F2" w:rsidTr="007A42ED">
        <w:trPr>
          <w:trHeight w:val="300"/>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4154F" w:rsidRPr="00FD30F2" w:rsidRDefault="00C4154F" w:rsidP="00FD30F2">
            <w:pPr>
              <w:spacing w:after="0" w:line="240" w:lineRule="auto"/>
              <w:rPr>
                <w:rFonts w:eastAsia="Times New Roman"/>
                <w:color w:val="000000"/>
                <w:lang w:eastAsia="en-GB"/>
              </w:rPr>
            </w:pPr>
            <w:r w:rsidRPr="00FD30F2">
              <w:rPr>
                <w:rFonts w:eastAsia="Times New Roman"/>
                <w:color w:val="000000"/>
                <w:lang w:eastAsia="en-GB"/>
              </w:rPr>
              <w:t xml:space="preserve">Total </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32930</w:t>
            </w:r>
          </w:p>
        </w:tc>
        <w:tc>
          <w:tcPr>
            <w:tcW w:w="1184"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100</w:t>
            </w:r>
          </w:p>
        </w:tc>
        <w:tc>
          <w:tcPr>
            <w:tcW w:w="829"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17,400</w:t>
            </w:r>
          </w:p>
        </w:tc>
        <w:tc>
          <w:tcPr>
            <w:tcW w:w="122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100</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color w:val="000000"/>
                <w:lang w:eastAsia="en-GB"/>
              </w:rPr>
            </w:pPr>
            <w:r w:rsidRPr="00FD30F2">
              <w:rPr>
                <w:rFonts w:eastAsia="Times New Roman"/>
                <w:color w:val="000000"/>
                <w:lang w:eastAsia="en-GB"/>
              </w:rPr>
              <w:t>50,330</w:t>
            </w:r>
          </w:p>
        </w:tc>
        <w:tc>
          <w:tcPr>
            <w:tcW w:w="960" w:type="dxa"/>
            <w:tcBorders>
              <w:top w:val="nil"/>
              <w:left w:val="nil"/>
              <w:bottom w:val="single" w:sz="4" w:space="0" w:color="auto"/>
              <w:right w:val="single" w:sz="4" w:space="0" w:color="auto"/>
            </w:tcBorders>
            <w:shd w:val="clear" w:color="auto" w:fill="auto"/>
            <w:noWrap/>
            <w:vAlign w:val="bottom"/>
            <w:hideMark/>
          </w:tcPr>
          <w:p w:rsidR="00C4154F" w:rsidRPr="00FD30F2" w:rsidRDefault="00C4154F" w:rsidP="00FD30F2">
            <w:pPr>
              <w:spacing w:after="0" w:line="240" w:lineRule="auto"/>
              <w:jc w:val="right"/>
              <w:rPr>
                <w:rFonts w:eastAsia="Times New Roman"/>
                <w:i/>
                <w:iCs/>
                <w:color w:val="000000"/>
                <w:lang w:eastAsia="en-GB"/>
              </w:rPr>
            </w:pPr>
            <w:r w:rsidRPr="00FD30F2">
              <w:rPr>
                <w:rFonts w:eastAsia="Times New Roman"/>
                <w:i/>
                <w:iCs/>
                <w:color w:val="000000"/>
                <w:lang w:eastAsia="en-GB"/>
              </w:rPr>
              <w:t>100</w:t>
            </w:r>
          </w:p>
        </w:tc>
      </w:tr>
    </w:tbl>
    <w:p w:rsidR="00C4154F" w:rsidRPr="00FD30F2" w:rsidRDefault="00C4154F" w:rsidP="00C4154F">
      <w:pPr>
        <w:spacing w:after="0" w:line="240" w:lineRule="auto"/>
        <w:rPr>
          <w:rFonts w:eastAsia="Times New Roman"/>
          <w:color w:val="000000"/>
          <w:lang w:eastAsia="en-GB"/>
        </w:rPr>
      </w:pPr>
      <w:r>
        <w:rPr>
          <w:b/>
        </w:rPr>
        <w:t xml:space="preserve"> Source: PQs </w:t>
      </w:r>
      <w:r w:rsidRPr="00FD30F2">
        <w:rPr>
          <w:rFonts w:eastAsia="Times New Roman"/>
          <w:color w:val="000000"/>
          <w:lang w:eastAsia="en-GB"/>
        </w:rPr>
        <w:t>S4W-24400 and S4W-24402</w:t>
      </w:r>
    </w:p>
    <w:p w:rsidR="00FD30F2" w:rsidRDefault="00FD30F2" w:rsidP="003F4FC0">
      <w:pPr>
        <w:rPr>
          <w:b/>
        </w:rPr>
      </w:pPr>
    </w:p>
    <w:p w:rsidR="003F4FC0" w:rsidRDefault="00F14CD6" w:rsidP="00F14CD6">
      <w:r>
        <w:t>In es</w:t>
      </w:r>
      <w:r w:rsidR="009729DE">
        <w:t xml:space="preserve">tablishing the new arrangements, </w:t>
      </w:r>
      <w:r>
        <w:t>the Scottish Government appears to have taken</w:t>
      </w:r>
      <w:r w:rsidR="009729DE">
        <w:t xml:space="preserve"> little account </w:t>
      </w:r>
      <w:r w:rsidR="003F4FC0">
        <w:t xml:space="preserve">of the possibility that </w:t>
      </w:r>
      <w:r w:rsidR="002F2DCA">
        <w:t>many</w:t>
      </w:r>
      <w:r w:rsidR="009729DE">
        <w:t xml:space="preserve"> poorer students </w:t>
      </w:r>
      <w:r w:rsidR="003F4FC0">
        <w:t xml:space="preserve">would not be willing to take out a loan, either at all or at a high enough level to get </w:t>
      </w:r>
      <w:r>
        <w:t>their full support</w:t>
      </w:r>
      <w:r w:rsidR="009729DE">
        <w:t xml:space="preserve">, despite the contents of </w:t>
      </w:r>
      <w:r w:rsidR="002F2DCA">
        <w:t>the analysis presented in its report to the Parliament in April 2013, quoted above.</w:t>
      </w:r>
    </w:p>
    <w:p w:rsidR="00445D32" w:rsidRPr="004F14D4" w:rsidRDefault="00F14CD6">
      <w:r w:rsidRPr="002F2DCA">
        <w:rPr>
          <w:b/>
        </w:rPr>
        <w:t xml:space="preserve">In the light of these </w:t>
      </w:r>
      <w:r w:rsidR="003D7305" w:rsidRPr="002F2DCA">
        <w:rPr>
          <w:b/>
        </w:rPr>
        <w:t>findings</w:t>
      </w:r>
      <w:r w:rsidRPr="002F2DCA">
        <w:rPr>
          <w:b/>
        </w:rPr>
        <w:t>, t</w:t>
      </w:r>
      <w:r w:rsidR="00E11568" w:rsidRPr="002F2DCA">
        <w:rPr>
          <w:b/>
        </w:rPr>
        <w:t xml:space="preserve">he Commission ought to consider the </w:t>
      </w:r>
      <w:r w:rsidRPr="002F2DCA">
        <w:rPr>
          <w:b/>
        </w:rPr>
        <w:t>possibility</w:t>
      </w:r>
      <w:r w:rsidR="00E11568" w:rsidRPr="002F2DCA">
        <w:rPr>
          <w:b/>
        </w:rPr>
        <w:t xml:space="preserve"> that the heavy dependence on loans to provide living cost support may have </w:t>
      </w:r>
      <w:r w:rsidR="00C06849" w:rsidRPr="002F2DCA">
        <w:rPr>
          <w:b/>
        </w:rPr>
        <w:t>a deterrent effect on certain low-income students</w:t>
      </w:r>
      <w:r w:rsidR="003D7305" w:rsidRPr="002F2DCA">
        <w:rPr>
          <w:b/>
        </w:rPr>
        <w:t xml:space="preserve"> </w:t>
      </w:r>
      <w:r w:rsidR="003D7305" w:rsidRPr="004F14D4">
        <w:t>or otherwise</w:t>
      </w:r>
      <w:r w:rsidR="00F9586F" w:rsidRPr="004F14D4">
        <w:t xml:space="preserve"> be</w:t>
      </w:r>
      <w:r w:rsidR="003D7305" w:rsidRPr="004F14D4">
        <w:t xml:space="preserve"> limiting the choices these students make</w:t>
      </w:r>
      <w:r w:rsidR="00F9586F" w:rsidRPr="004F14D4">
        <w:t xml:space="preserve"> and may also be making them more vulnerable to non-completion, due to hardship and excessive term time working.</w:t>
      </w:r>
    </w:p>
    <w:p w:rsidR="00F9586F" w:rsidRDefault="00C06849" w:rsidP="00F9586F">
      <w:r>
        <w:t>In particular, t</w:t>
      </w:r>
      <w:r w:rsidR="00445D32">
        <w:t>hese findings need to be re</w:t>
      </w:r>
      <w:r w:rsidR="00C87DC6">
        <w:t xml:space="preserve">ad against evidence that </w:t>
      </w:r>
      <w:r w:rsidR="00C87DC6" w:rsidRPr="009729DE">
        <w:rPr>
          <w:b/>
        </w:rPr>
        <w:t>partici</w:t>
      </w:r>
      <w:r w:rsidR="00445D32" w:rsidRPr="009729DE">
        <w:rPr>
          <w:b/>
        </w:rPr>
        <w:t>pation rates are particularly low in rural areas</w:t>
      </w:r>
      <w:r w:rsidR="00445D32">
        <w:t>.</w:t>
      </w:r>
      <w:r w:rsidR="00D00B37">
        <w:t xml:space="preserve">  Avoiding debt will be easier</w:t>
      </w:r>
      <w:r w:rsidR="00C87DC6">
        <w:t xml:space="preserve"> for students who can live at home while they study.  This</w:t>
      </w:r>
      <w:r w:rsidR="00D00B37">
        <w:t xml:space="preserve"> option is</w:t>
      </w:r>
      <w:r w:rsidR="00C87DC6">
        <w:t xml:space="preserve"> more available to those who live within affordable daily commuting distance of one or more institutions offering higher education</w:t>
      </w:r>
      <w:r w:rsidR="00371358">
        <w:t xml:space="preserve">. </w:t>
      </w:r>
      <w:r w:rsidR="004F14D4">
        <w:t xml:space="preserve"> Other groups </w:t>
      </w:r>
      <w:r w:rsidR="009729DE">
        <w:t xml:space="preserve">likely to be </w:t>
      </w:r>
      <w:r w:rsidR="004F14D4">
        <w:t>unable or unwilling to l</w:t>
      </w:r>
      <w:r w:rsidR="009729DE">
        <w:t>ive at home will include those with families in poor</w:t>
      </w:r>
      <w:r w:rsidR="004F14D4">
        <w:t xml:space="preserve"> housing, or </w:t>
      </w:r>
      <w:r w:rsidR="009729DE">
        <w:t xml:space="preserve">whose family homes are </w:t>
      </w:r>
      <w:r w:rsidR="004F14D4">
        <w:t xml:space="preserve">physically or emotionally unsafe. </w:t>
      </w:r>
    </w:p>
    <w:p w:rsidR="00F9586F" w:rsidRDefault="00F9586F" w:rsidP="00F9586F">
      <w:pPr>
        <w:pStyle w:val="ListParagraph"/>
        <w:numPr>
          <w:ilvl w:val="0"/>
          <w:numId w:val="3"/>
        </w:numPr>
        <w:rPr>
          <w:u w:val="single"/>
        </w:rPr>
      </w:pPr>
      <w:r w:rsidRPr="00A54D5E">
        <w:rPr>
          <w:u w:val="single"/>
        </w:rPr>
        <w:t>Information about loans</w:t>
      </w:r>
    </w:p>
    <w:p w:rsidR="00F9586F" w:rsidRDefault="00F9586F" w:rsidP="00F9586F">
      <w:pPr>
        <w:pStyle w:val="ListParagraph"/>
        <w:ind w:left="1080"/>
      </w:pPr>
    </w:p>
    <w:p w:rsidR="007A42ED" w:rsidRDefault="00F9586F" w:rsidP="00F9586F">
      <w:pPr>
        <w:pStyle w:val="ListParagraph"/>
        <w:ind w:left="0"/>
      </w:pPr>
      <w:r>
        <w:t xml:space="preserve">The Commission may want to test the understanding of students, and advisers, of the student loan system.  </w:t>
      </w:r>
      <w:hyperlink r:id="rId16" w:history="1">
        <w:r w:rsidRPr="009729DE">
          <w:rPr>
            <w:rStyle w:val="Hyperlink"/>
          </w:rPr>
          <w:t>Figures r</w:t>
        </w:r>
        <w:r w:rsidR="004F14D4" w:rsidRPr="009729DE">
          <w:rPr>
            <w:rStyle w:val="Hyperlink"/>
          </w:rPr>
          <w:t>eport</w:t>
        </w:r>
        <w:r w:rsidRPr="009729DE">
          <w:rPr>
            <w:rStyle w:val="Hyperlink"/>
          </w:rPr>
          <w:t>ed on 1 July</w:t>
        </w:r>
      </w:hyperlink>
      <w:r w:rsidR="00A14EF3">
        <w:t xml:space="preserve"> suggested</w:t>
      </w:r>
      <w:r>
        <w:t xml:space="preserve"> that students in Scotland are disproportionately likely to engage with payday lenders.  Misunderstandings about the student loan system may be contributing to this, although limitations on total living cost support are also a potential factor.</w:t>
      </w:r>
    </w:p>
    <w:p w:rsidR="007A42ED" w:rsidRDefault="007A42ED">
      <w:r>
        <w:br w:type="page"/>
      </w:r>
    </w:p>
    <w:p w:rsidR="00371358" w:rsidRPr="00F9586F" w:rsidRDefault="0063308B" w:rsidP="00F9586F">
      <w:pPr>
        <w:pStyle w:val="ListParagraph"/>
        <w:numPr>
          <w:ilvl w:val="0"/>
          <w:numId w:val="3"/>
        </w:numPr>
      </w:pPr>
      <w:r w:rsidRPr="00F9586F">
        <w:rPr>
          <w:u w:val="single"/>
        </w:rPr>
        <w:t>Living cost support away from home</w:t>
      </w:r>
    </w:p>
    <w:p w:rsidR="00F9586F" w:rsidRDefault="00F9586F" w:rsidP="00F9586F">
      <w:pPr>
        <w:pStyle w:val="ListParagraph"/>
        <w:ind w:left="1080"/>
      </w:pPr>
    </w:p>
    <w:p w:rsidR="00646E86" w:rsidRDefault="0063308B" w:rsidP="00371358">
      <w:pPr>
        <w:pStyle w:val="ListParagraph"/>
        <w:ind w:left="0"/>
      </w:pPr>
      <w:r>
        <w:t xml:space="preserve">The international evidence and the 2010 IFS study both suggest that the </w:t>
      </w:r>
      <w:r w:rsidRPr="0063308B">
        <w:rPr>
          <w:i/>
        </w:rPr>
        <w:t>total support</w:t>
      </w:r>
      <w:r>
        <w:t xml:space="preserve"> available at low incomes </w:t>
      </w:r>
      <w:r w:rsidRPr="0063308B">
        <w:rPr>
          <w:i/>
        </w:rPr>
        <w:t>in whatever form</w:t>
      </w:r>
      <w:r w:rsidR="00371358">
        <w:t xml:space="preserve"> is relevant to access.   </w:t>
      </w:r>
      <w:r>
        <w:t>The figure below compares total support (grant plus loan) for st</w:t>
      </w:r>
      <w:r w:rsidR="00646E86">
        <w:t>udents away from home</w:t>
      </w:r>
      <w:r>
        <w:t xml:space="preserve">, commonly acknowledged to be the ones in greatest need of help, from the different UK nations in 2014-15.  The figures will only change marginally in 2015-16. </w:t>
      </w:r>
    </w:p>
    <w:p w:rsidR="00371358" w:rsidRDefault="0063308B" w:rsidP="00371358">
      <w:pPr>
        <w:pStyle w:val="ListParagraph"/>
        <w:ind w:left="0"/>
      </w:pPr>
      <w:r>
        <w:t xml:space="preserve"> </w:t>
      </w:r>
    </w:p>
    <w:p w:rsidR="00371358" w:rsidRDefault="00371358" w:rsidP="00371358">
      <w:pPr>
        <w:pStyle w:val="ListParagraph"/>
        <w:ind w:left="0"/>
      </w:pPr>
      <w:r>
        <w:rPr>
          <w:noProof/>
          <w:lang w:eastAsia="en-GB"/>
        </w:rPr>
        <w:drawing>
          <wp:inline distT="0" distB="0" distL="0" distR="0" wp14:anchorId="012D828F" wp14:editId="0B2C95A1">
            <wp:extent cx="4629150" cy="3419475"/>
            <wp:effectExtent l="0" t="0" r="1905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14EF3" w:rsidRDefault="00A14EF3" w:rsidP="00371358">
      <w:r>
        <w:t>Source: official student finance calculators in each part of the UK and SAAS figures.</w:t>
      </w:r>
    </w:p>
    <w:p w:rsidR="00371358" w:rsidRDefault="0063308B" w:rsidP="00371358">
      <w:r>
        <w:t>The S</w:t>
      </w:r>
      <w:r w:rsidR="004F14D4">
        <w:t>cottish Government</w:t>
      </w:r>
      <w:r>
        <w:t xml:space="preserve"> increased living cost support substantially for many students in 2013-14, as the 2012-13 Scottish line included above shows. </w:t>
      </w:r>
      <w:r w:rsidR="00A14EF3">
        <w:t xml:space="preserve"> This increase was achieved through the release of additional loan (at the same time, grants were reduced, with total spending </w:t>
      </w:r>
      <w:r w:rsidR="00646E86">
        <w:t xml:space="preserve">on income-related bursaries </w:t>
      </w:r>
      <w:r w:rsidR="00A14EF3">
        <w:t>falling by £40m).</w:t>
      </w:r>
    </w:p>
    <w:p w:rsidR="00371358" w:rsidRDefault="00371358" w:rsidP="00371358">
      <w:r>
        <w:t>However, for those away from home living cost support in Scotland remains less generous  compared to the rest of the mainland UK for most students between £17,000 (£19,000 from this autumn) and around £45,000. In particular, Scotland has adopted a stepped system, which results in a sharp drop in support as soon as income reaches £17,000</w:t>
      </w:r>
      <w:r w:rsidR="004F14D4">
        <w:t xml:space="preserve"> (£19,000 once again from the autum</w:t>
      </w:r>
      <w:r w:rsidR="00536CBF">
        <w:t>n</w:t>
      </w:r>
      <w:r w:rsidR="004F14D4">
        <w:t>)</w:t>
      </w:r>
      <w:r>
        <w:t>.</w:t>
      </w:r>
      <w:r w:rsidR="004F14D4">
        <w:t xml:space="preserve"> This leaves </w:t>
      </w:r>
      <w:r w:rsidR="009D13B5">
        <w:t xml:space="preserve">the families of </w:t>
      </w:r>
      <w:r w:rsidR="004F14D4">
        <w:t xml:space="preserve">students at </w:t>
      </w:r>
      <w:r w:rsidR="009D13B5">
        <w:t>some relatively low incomes facing a greater expectation of “ability to pay” towards students’ upfront living costs than applies in most other parts of the UK, with potential implications for access.</w:t>
      </w:r>
    </w:p>
    <w:p w:rsidR="009E64D8" w:rsidRDefault="0063308B" w:rsidP="00371358">
      <w:r>
        <w:t xml:space="preserve">Scotland compares more favourably in comparisons of support for those who live at home, as it is the only nation which does not reduce support for this group. </w:t>
      </w:r>
    </w:p>
    <w:p w:rsidR="009E64D8" w:rsidRDefault="009E64D8">
      <w:r>
        <w:br w:type="page"/>
      </w:r>
    </w:p>
    <w:p w:rsidR="0063308B" w:rsidRDefault="0063308B" w:rsidP="00371358"/>
    <w:p w:rsidR="00371358" w:rsidRPr="00F9586F" w:rsidRDefault="00371358" w:rsidP="00F9586F">
      <w:pPr>
        <w:pStyle w:val="ListParagraph"/>
        <w:numPr>
          <w:ilvl w:val="0"/>
          <w:numId w:val="3"/>
        </w:numPr>
        <w:rPr>
          <w:u w:val="single"/>
        </w:rPr>
      </w:pPr>
      <w:r w:rsidRPr="00F9586F">
        <w:rPr>
          <w:u w:val="single"/>
        </w:rPr>
        <w:t>Investment choices</w:t>
      </w:r>
    </w:p>
    <w:p w:rsidR="00333D87" w:rsidRDefault="004F14D4" w:rsidP="00371358">
      <w:r>
        <w:t xml:space="preserve">The </w:t>
      </w:r>
      <w:r w:rsidR="00BE4853" w:rsidRPr="00BE4853">
        <w:t>2013-14 figures</w:t>
      </w:r>
      <w:r>
        <w:t xml:space="preserve"> on which the submission draws are provided below. </w:t>
      </w:r>
    </w:p>
    <w:tbl>
      <w:tblPr>
        <w:tblW w:w="7740" w:type="dxa"/>
        <w:tblInd w:w="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3662"/>
        <w:gridCol w:w="960"/>
      </w:tblGrid>
      <w:tr w:rsidR="00371358" w:rsidRPr="0083207B" w:rsidTr="00DC4E43">
        <w:trPr>
          <w:trHeight w:val="300"/>
        </w:trPr>
        <w:tc>
          <w:tcPr>
            <w:tcW w:w="3118" w:type="dxa"/>
            <w:shd w:val="clear" w:color="auto" w:fill="EEECE1" w:themeFill="background2"/>
          </w:tcPr>
          <w:p w:rsidR="00371358" w:rsidRPr="0083207B" w:rsidRDefault="00333D87" w:rsidP="00DC4E43">
            <w:pPr>
              <w:spacing w:after="0" w:line="240" w:lineRule="auto"/>
              <w:rPr>
                <w:rFonts w:eastAsia="Times New Roman"/>
                <w:b/>
                <w:color w:val="000000"/>
                <w:lang w:eastAsia="en-GB"/>
              </w:rPr>
            </w:pPr>
            <w:r>
              <w:br w:type="page"/>
            </w:r>
            <w:r w:rsidR="00371358" w:rsidRPr="0083207B">
              <w:rPr>
                <w:rFonts w:eastAsia="Times New Roman"/>
                <w:b/>
                <w:color w:val="000000"/>
                <w:lang w:eastAsia="en-GB"/>
              </w:rPr>
              <w:t>Category</w:t>
            </w:r>
          </w:p>
        </w:tc>
        <w:tc>
          <w:tcPr>
            <w:tcW w:w="3662" w:type="dxa"/>
            <w:shd w:val="clear" w:color="auto" w:fill="EEECE1" w:themeFill="background2"/>
            <w:noWrap/>
            <w:vAlign w:val="bottom"/>
          </w:tcPr>
          <w:p w:rsidR="00371358" w:rsidRPr="0083207B" w:rsidRDefault="00371358" w:rsidP="00DC4E43">
            <w:pPr>
              <w:spacing w:after="0" w:line="240" w:lineRule="auto"/>
              <w:rPr>
                <w:rFonts w:eastAsia="Times New Roman"/>
                <w:b/>
                <w:color w:val="000000"/>
                <w:lang w:eastAsia="en-GB"/>
              </w:rPr>
            </w:pPr>
            <w:r w:rsidRPr="0083207B">
              <w:rPr>
                <w:rFonts w:eastAsia="Times New Roman"/>
                <w:b/>
                <w:color w:val="000000"/>
                <w:lang w:eastAsia="en-GB"/>
              </w:rPr>
              <w:t>Sub-category</w:t>
            </w:r>
          </w:p>
        </w:tc>
        <w:tc>
          <w:tcPr>
            <w:tcW w:w="960" w:type="dxa"/>
            <w:shd w:val="clear" w:color="auto" w:fill="EEECE1" w:themeFill="background2"/>
            <w:noWrap/>
            <w:vAlign w:val="bottom"/>
          </w:tcPr>
          <w:p w:rsidR="00371358" w:rsidRPr="0083207B" w:rsidRDefault="00371358" w:rsidP="00DC4E43">
            <w:pPr>
              <w:spacing w:after="0" w:line="240" w:lineRule="auto"/>
              <w:jc w:val="center"/>
              <w:rPr>
                <w:rFonts w:eastAsia="Times New Roman"/>
                <w:b/>
                <w:color w:val="000000"/>
                <w:lang w:eastAsia="en-GB"/>
              </w:rPr>
            </w:pPr>
            <w:r w:rsidRPr="0083207B">
              <w:rPr>
                <w:rFonts w:eastAsia="Times New Roman"/>
                <w:b/>
                <w:color w:val="000000"/>
                <w:lang w:eastAsia="en-GB"/>
              </w:rPr>
              <w:t>£m</w:t>
            </w:r>
          </w:p>
        </w:tc>
      </w:tr>
      <w:tr w:rsidR="00BE4853" w:rsidRPr="00EA0155" w:rsidTr="00371358">
        <w:trPr>
          <w:trHeight w:val="300"/>
        </w:trPr>
        <w:tc>
          <w:tcPr>
            <w:tcW w:w="3118" w:type="dxa"/>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SFC grants</w:t>
            </w: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HEIs: teaching grants</w:t>
            </w:r>
          </w:p>
        </w:tc>
        <w:tc>
          <w:tcPr>
            <w:tcW w:w="960" w:type="dxa"/>
            <w:shd w:val="clear" w:color="auto" w:fill="auto"/>
            <w:noWrap/>
            <w:vAlign w:val="bottom"/>
          </w:tcPr>
          <w:p w:rsidR="00BE4853" w:rsidRPr="00EA0155" w:rsidRDefault="00BE4853" w:rsidP="00DC4E43">
            <w:pPr>
              <w:spacing w:after="0" w:line="240" w:lineRule="auto"/>
              <w:jc w:val="right"/>
              <w:rPr>
                <w:rFonts w:eastAsia="Times New Roman"/>
                <w:color w:val="000000"/>
                <w:lang w:eastAsia="en-GB"/>
              </w:rPr>
            </w:pPr>
            <w:r>
              <w:rPr>
                <w:rFonts w:eastAsia="Times New Roman"/>
                <w:color w:val="000000"/>
                <w:lang w:eastAsia="en-GB"/>
              </w:rPr>
              <w:t>641</w:t>
            </w:r>
          </w:p>
        </w:tc>
      </w:tr>
      <w:tr w:rsidR="00BE4853"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HE in FECs</w:t>
            </w:r>
            <w:r>
              <w:rPr>
                <w:rFonts w:eastAsia="Times New Roman"/>
                <w:color w:val="000000"/>
                <w:lang w:eastAsia="en-GB"/>
              </w:rPr>
              <w:t xml:space="preserve"> teaching</w:t>
            </w:r>
            <w:r w:rsidRPr="00EA0155">
              <w:rPr>
                <w:rFonts w:eastAsia="Times New Roman"/>
                <w:color w:val="000000"/>
                <w:lang w:eastAsia="en-GB"/>
              </w:rPr>
              <w:t xml:space="preserve"> (</w:t>
            </w:r>
            <w:r w:rsidRPr="00806792">
              <w:rPr>
                <w:rFonts w:eastAsia="Times New Roman"/>
                <w:b/>
                <w:color w:val="000000"/>
                <w:lang w:eastAsia="en-GB"/>
              </w:rPr>
              <w:t>est</w:t>
            </w:r>
            <w:r w:rsidRPr="00EA0155">
              <w:rPr>
                <w:rFonts w:eastAsia="Times New Roman"/>
                <w:color w:val="000000"/>
                <w:lang w:eastAsia="en-GB"/>
              </w:rPr>
              <w:t>)</w:t>
            </w:r>
            <w:r>
              <w:rPr>
                <w:rFonts w:eastAsia="Times New Roman"/>
                <w:color w:val="000000"/>
                <w:lang w:eastAsia="en-GB"/>
              </w:rPr>
              <w:t xml:space="preserve"> </w:t>
            </w:r>
          </w:p>
        </w:tc>
        <w:tc>
          <w:tcPr>
            <w:tcW w:w="960" w:type="dxa"/>
            <w:shd w:val="clear" w:color="auto" w:fill="auto"/>
            <w:noWrap/>
            <w:vAlign w:val="bottom"/>
          </w:tcPr>
          <w:p w:rsidR="00BE4853" w:rsidRPr="00333D87" w:rsidRDefault="00BE4853" w:rsidP="00DC4E43">
            <w:pPr>
              <w:spacing w:after="0" w:line="240" w:lineRule="auto"/>
              <w:jc w:val="right"/>
              <w:rPr>
                <w:rFonts w:eastAsia="Times New Roman"/>
                <w:color w:val="000000"/>
                <w:lang w:eastAsia="en-GB"/>
              </w:rPr>
            </w:pPr>
            <w:r w:rsidRPr="00333D87">
              <w:rPr>
                <w:rFonts w:eastAsia="Times New Roman"/>
                <w:color w:val="000000"/>
                <w:lang w:eastAsia="en-GB"/>
              </w:rPr>
              <w:t>132</w:t>
            </w:r>
          </w:p>
        </w:tc>
      </w:tr>
      <w:tr w:rsidR="00BE4853" w:rsidRPr="00EA0155"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SAAS: fees</w:t>
            </w: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Fees to Scottish HEIs</w:t>
            </w:r>
          </w:p>
        </w:tc>
        <w:tc>
          <w:tcPr>
            <w:tcW w:w="960" w:type="dxa"/>
            <w:shd w:val="clear" w:color="auto" w:fill="auto"/>
            <w:noWrap/>
            <w:vAlign w:val="bottom"/>
          </w:tcPr>
          <w:p w:rsidR="00BE4853" w:rsidRPr="00EA0155" w:rsidRDefault="00BE4853" w:rsidP="00DC4E43">
            <w:pPr>
              <w:spacing w:after="0" w:line="240" w:lineRule="auto"/>
              <w:jc w:val="right"/>
              <w:rPr>
                <w:rFonts w:eastAsia="Times New Roman"/>
                <w:color w:val="000000"/>
                <w:lang w:eastAsia="en-GB"/>
              </w:rPr>
            </w:pPr>
            <w:r w:rsidRPr="00EA0155">
              <w:rPr>
                <w:rFonts w:eastAsia="Times New Roman"/>
                <w:color w:val="000000"/>
                <w:lang w:eastAsia="en-GB"/>
              </w:rPr>
              <w:t>183</w:t>
            </w:r>
          </w:p>
        </w:tc>
      </w:tr>
      <w:tr w:rsidR="00BE4853" w:rsidRPr="00806792" w:rsidTr="00BE4853">
        <w:trPr>
          <w:trHeight w:val="300"/>
        </w:trPr>
        <w:tc>
          <w:tcPr>
            <w:tcW w:w="3118" w:type="dxa"/>
          </w:tcPr>
          <w:p w:rsidR="00BE4853" w:rsidRPr="00EA0155" w:rsidRDefault="00BE4853" w:rsidP="00DC4E43">
            <w:pPr>
              <w:spacing w:after="0" w:line="240" w:lineRule="auto"/>
              <w:rPr>
                <w:rFonts w:eastAsia="Times New Roman"/>
                <w:color w:val="000000"/>
                <w:lang w:eastAsia="en-GB"/>
              </w:rPr>
            </w:pP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Fees to Scottish colleges</w:t>
            </w:r>
          </w:p>
        </w:tc>
        <w:tc>
          <w:tcPr>
            <w:tcW w:w="960" w:type="dxa"/>
            <w:shd w:val="clear" w:color="auto" w:fill="auto"/>
            <w:noWrap/>
            <w:vAlign w:val="bottom"/>
          </w:tcPr>
          <w:p w:rsidR="00BE4853" w:rsidRPr="00EA0155" w:rsidRDefault="00BE4853" w:rsidP="00DC4E43">
            <w:pPr>
              <w:spacing w:after="0" w:line="240" w:lineRule="auto"/>
              <w:jc w:val="right"/>
              <w:rPr>
                <w:rFonts w:eastAsia="Times New Roman"/>
                <w:color w:val="000000"/>
                <w:lang w:eastAsia="en-GB"/>
              </w:rPr>
            </w:pPr>
            <w:r w:rsidRPr="00EA0155">
              <w:rPr>
                <w:rFonts w:eastAsia="Times New Roman"/>
                <w:color w:val="000000"/>
                <w:lang w:eastAsia="en-GB"/>
              </w:rPr>
              <w:t>36</w:t>
            </w:r>
          </w:p>
        </w:tc>
      </w:tr>
      <w:tr w:rsidR="00BE4853" w:rsidRPr="0083207B"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r>
              <w:rPr>
                <w:rFonts w:eastAsia="Times New Roman"/>
                <w:color w:val="000000"/>
                <w:lang w:eastAsia="en-GB"/>
              </w:rPr>
              <w:t>Total teaching support</w:t>
            </w: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p>
        </w:tc>
        <w:tc>
          <w:tcPr>
            <w:tcW w:w="960" w:type="dxa"/>
            <w:shd w:val="clear" w:color="auto" w:fill="auto"/>
            <w:noWrap/>
            <w:vAlign w:val="bottom"/>
          </w:tcPr>
          <w:p w:rsidR="00BE4853" w:rsidRPr="00BE4853" w:rsidRDefault="00BE4853" w:rsidP="00DC4E43">
            <w:pPr>
              <w:spacing w:after="0" w:line="240" w:lineRule="auto"/>
              <w:jc w:val="right"/>
              <w:rPr>
                <w:rFonts w:eastAsia="Times New Roman"/>
                <w:b/>
                <w:color w:val="000000"/>
                <w:lang w:eastAsia="en-GB"/>
              </w:rPr>
            </w:pPr>
            <w:r w:rsidRPr="00BE4853">
              <w:rPr>
                <w:rFonts w:eastAsia="Times New Roman"/>
                <w:b/>
                <w:color w:val="000000"/>
                <w:lang w:eastAsia="en-GB"/>
              </w:rPr>
              <w:t>992</w:t>
            </w:r>
          </w:p>
        </w:tc>
      </w:tr>
      <w:tr w:rsidR="00BE4853" w:rsidRPr="00EA0155" w:rsidTr="00BE4853">
        <w:trPr>
          <w:trHeight w:val="300"/>
        </w:trPr>
        <w:tc>
          <w:tcPr>
            <w:tcW w:w="3118" w:type="dxa"/>
          </w:tcPr>
          <w:p w:rsidR="00BE4853" w:rsidRPr="00EA0155" w:rsidRDefault="00BE4853" w:rsidP="00DC4E43">
            <w:pPr>
              <w:spacing w:after="0" w:line="240" w:lineRule="auto"/>
              <w:rPr>
                <w:rFonts w:eastAsia="Times New Roman"/>
                <w:color w:val="000000"/>
                <w:lang w:eastAsia="en-GB"/>
              </w:rPr>
            </w:pP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p>
        </w:tc>
        <w:tc>
          <w:tcPr>
            <w:tcW w:w="960" w:type="dxa"/>
            <w:shd w:val="clear" w:color="auto" w:fill="auto"/>
            <w:noWrap/>
            <w:vAlign w:val="bottom"/>
          </w:tcPr>
          <w:p w:rsidR="00BE4853" w:rsidRPr="00EA0155" w:rsidRDefault="00BE4853" w:rsidP="00DC4E43">
            <w:pPr>
              <w:spacing w:after="0" w:line="240" w:lineRule="auto"/>
              <w:jc w:val="right"/>
              <w:rPr>
                <w:rFonts w:eastAsia="Times New Roman"/>
                <w:color w:val="000000"/>
                <w:lang w:eastAsia="en-GB"/>
              </w:rPr>
            </w:pPr>
          </w:p>
        </w:tc>
      </w:tr>
      <w:tr w:rsidR="00BE4853" w:rsidRPr="00EA0155"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SAAS: grants</w:t>
            </w:r>
          </w:p>
        </w:tc>
        <w:tc>
          <w:tcPr>
            <w:tcW w:w="3662" w:type="dxa"/>
            <w:shd w:val="clear" w:color="auto" w:fill="auto"/>
            <w:noWrap/>
            <w:vAlign w:val="bottom"/>
            <w:hideMark/>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Students in HEIs</w:t>
            </w:r>
          </w:p>
        </w:tc>
        <w:tc>
          <w:tcPr>
            <w:tcW w:w="960" w:type="dxa"/>
            <w:shd w:val="clear" w:color="auto" w:fill="auto"/>
            <w:noWrap/>
            <w:vAlign w:val="bottom"/>
            <w:hideMark/>
          </w:tcPr>
          <w:p w:rsidR="00BE4853" w:rsidRPr="00EA0155" w:rsidRDefault="00BE4853" w:rsidP="00DC4E43">
            <w:pPr>
              <w:spacing w:after="0" w:line="240" w:lineRule="auto"/>
              <w:jc w:val="right"/>
              <w:rPr>
                <w:rFonts w:eastAsia="Times New Roman"/>
                <w:color w:val="000000"/>
                <w:lang w:eastAsia="en-GB"/>
              </w:rPr>
            </w:pPr>
            <w:r w:rsidRPr="00EA0155">
              <w:rPr>
                <w:rFonts w:eastAsia="Times New Roman"/>
                <w:color w:val="000000"/>
                <w:lang w:eastAsia="en-GB"/>
              </w:rPr>
              <w:t>42</w:t>
            </w:r>
          </w:p>
        </w:tc>
      </w:tr>
      <w:tr w:rsidR="00BE4853" w:rsidRPr="00EA0155"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p>
        </w:tc>
        <w:tc>
          <w:tcPr>
            <w:tcW w:w="3662" w:type="dxa"/>
            <w:shd w:val="clear" w:color="auto" w:fill="auto"/>
            <w:noWrap/>
            <w:vAlign w:val="bottom"/>
            <w:hideMark/>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Students in colleges</w:t>
            </w:r>
          </w:p>
        </w:tc>
        <w:tc>
          <w:tcPr>
            <w:tcW w:w="960" w:type="dxa"/>
            <w:shd w:val="clear" w:color="auto" w:fill="auto"/>
            <w:noWrap/>
            <w:vAlign w:val="bottom"/>
            <w:hideMark/>
          </w:tcPr>
          <w:p w:rsidR="00BE4853" w:rsidRPr="00EA0155" w:rsidRDefault="00BE4853" w:rsidP="00DC4E43">
            <w:pPr>
              <w:spacing w:after="0" w:line="240" w:lineRule="auto"/>
              <w:jc w:val="right"/>
              <w:rPr>
                <w:rFonts w:eastAsia="Times New Roman"/>
                <w:color w:val="000000"/>
                <w:lang w:eastAsia="en-GB"/>
              </w:rPr>
            </w:pPr>
            <w:r w:rsidRPr="00EA0155">
              <w:rPr>
                <w:rFonts w:eastAsia="Times New Roman"/>
                <w:color w:val="000000"/>
                <w:lang w:eastAsia="en-GB"/>
              </w:rPr>
              <w:t>21</w:t>
            </w:r>
          </w:p>
        </w:tc>
      </w:tr>
      <w:tr w:rsidR="00BE4853" w:rsidRPr="00EA0155" w:rsidTr="00DC4E43">
        <w:trPr>
          <w:trHeight w:val="300"/>
        </w:trPr>
        <w:tc>
          <w:tcPr>
            <w:tcW w:w="3118" w:type="dxa"/>
          </w:tcPr>
          <w:p w:rsidR="00BE4853" w:rsidRPr="00EA0155" w:rsidRDefault="00BE4853" w:rsidP="00DC4E43">
            <w:pPr>
              <w:spacing w:after="0" w:line="240" w:lineRule="auto"/>
              <w:rPr>
                <w:rFonts w:eastAsia="Times New Roman"/>
                <w:color w:val="000000"/>
                <w:lang w:eastAsia="en-GB"/>
              </w:rPr>
            </w:pPr>
          </w:p>
        </w:tc>
        <w:tc>
          <w:tcPr>
            <w:tcW w:w="3662" w:type="dxa"/>
            <w:shd w:val="clear" w:color="auto" w:fill="auto"/>
            <w:noWrap/>
            <w:vAlign w:val="bottom"/>
            <w:hideMark/>
          </w:tcPr>
          <w:p w:rsidR="00BE4853" w:rsidRPr="00EA0155" w:rsidRDefault="00BE4853" w:rsidP="00DC4E43">
            <w:pPr>
              <w:spacing w:after="0" w:line="240" w:lineRule="auto"/>
              <w:rPr>
                <w:rFonts w:eastAsia="Times New Roman"/>
                <w:color w:val="000000"/>
                <w:lang w:eastAsia="en-GB"/>
              </w:rPr>
            </w:pPr>
            <w:r w:rsidRPr="00EA0155">
              <w:rPr>
                <w:rFonts w:eastAsia="Times New Roman"/>
                <w:color w:val="000000"/>
                <w:lang w:eastAsia="en-GB"/>
              </w:rPr>
              <w:t>Students in rUK</w:t>
            </w:r>
          </w:p>
        </w:tc>
        <w:tc>
          <w:tcPr>
            <w:tcW w:w="960" w:type="dxa"/>
            <w:shd w:val="clear" w:color="auto" w:fill="auto"/>
            <w:noWrap/>
            <w:vAlign w:val="bottom"/>
            <w:hideMark/>
          </w:tcPr>
          <w:p w:rsidR="00BE4853" w:rsidRPr="00EA0155" w:rsidRDefault="00BE4853" w:rsidP="00DC4E43">
            <w:pPr>
              <w:spacing w:after="0" w:line="240" w:lineRule="auto"/>
              <w:jc w:val="right"/>
              <w:rPr>
                <w:rFonts w:eastAsia="Times New Roman"/>
                <w:color w:val="000000"/>
                <w:lang w:eastAsia="en-GB"/>
              </w:rPr>
            </w:pPr>
            <w:r w:rsidRPr="00EA0155">
              <w:rPr>
                <w:rFonts w:eastAsia="Times New Roman"/>
                <w:color w:val="000000"/>
                <w:lang w:eastAsia="en-GB"/>
              </w:rPr>
              <w:t>2</w:t>
            </w:r>
          </w:p>
        </w:tc>
      </w:tr>
      <w:tr w:rsidR="00BE4853" w:rsidRPr="00EA0155" w:rsidTr="00BE4853">
        <w:trPr>
          <w:trHeight w:val="315"/>
        </w:trPr>
        <w:tc>
          <w:tcPr>
            <w:tcW w:w="3118" w:type="dxa"/>
          </w:tcPr>
          <w:p w:rsidR="00BE4853" w:rsidRPr="00EA0155" w:rsidRDefault="00BE4853" w:rsidP="00BE4853">
            <w:pPr>
              <w:spacing w:after="0" w:line="240" w:lineRule="auto"/>
              <w:rPr>
                <w:rFonts w:eastAsia="Times New Roman"/>
                <w:color w:val="000000"/>
                <w:lang w:eastAsia="en-GB"/>
              </w:rPr>
            </w:pPr>
            <w:r>
              <w:rPr>
                <w:rFonts w:eastAsia="Times New Roman"/>
                <w:color w:val="000000"/>
                <w:lang w:eastAsia="en-GB"/>
              </w:rPr>
              <w:t>Total grants</w:t>
            </w:r>
          </w:p>
        </w:tc>
        <w:tc>
          <w:tcPr>
            <w:tcW w:w="3662" w:type="dxa"/>
            <w:shd w:val="clear" w:color="auto" w:fill="auto"/>
            <w:noWrap/>
            <w:vAlign w:val="bottom"/>
          </w:tcPr>
          <w:p w:rsidR="00BE4853" w:rsidRPr="00EA0155" w:rsidRDefault="00BE4853" w:rsidP="00DC4E43">
            <w:pPr>
              <w:spacing w:after="0" w:line="240" w:lineRule="auto"/>
              <w:rPr>
                <w:rFonts w:eastAsia="Times New Roman"/>
                <w:color w:val="000000"/>
                <w:lang w:eastAsia="en-GB"/>
              </w:rPr>
            </w:pPr>
          </w:p>
        </w:tc>
        <w:tc>
          <w:tcPr>
            <w:tcW w:w="960" w:type="dxa"/>
            <w:shd w:val="clear" w:color="auto" w:fill="auto"/>
            <w:noWrap/>
            <w:vAlign w:val="bottom"/>
          </w:tcPr>
          <w:p w:rsidR="00BE4853" w:rsidRPr="00BE4853" w:rsidRDefault="00BE4853" w:rsidP="00DC4E43">
            <w:pPr>
              <w:spacing w:after="0" w:line="240" w:lineRule="auto"/>
              <w:jc w:val="right"/>
              <w:rPr>
                <w:rFonts w:eastAsia="Times New Roman"/>
                <w:b/>
                <w:lang w:eastAsia="en-GB"/>
              </w:rPr>
            </w:pPr>
            <w:r w:rsidRPr="00BE4853">
              <w:rPr>
                <w:rFonts w:eastAsia="Times New Roman"/>
                <w:b/>
                <w:lang w:eastAsia="en-GB"/>
              </w:rPr>
              <w:t>65</w:t>
            </w:r>
          </w:p>
        </w:tc>
      </w:tr>
    </w:tbl>
    <w:p w:rsidR="0063308B" w:rsidRDefault="0063308B"/>
    <w:p w:rsidR="00BE4853" w:rsidRPr="00505A77" w:rsidRDefault="00BE4853">
      <w:r w:rsidRPr="00505A77">
        <w:t xml:space="preserve">Numbers of students in receipt of fee support from SAAS:  </w:t>
      </w:r>
      <w:r w:rsidRPr="00505A77">
        <w:rPr>
          <w:rFonts w:eastAsia="Times New Roman" w:cs="Arial"/>
          <w:lang w:eastAsia="en-GB"/>
        </w:rPr>
        <w:t>130,990</w:t>
      </w:r>
      <w:r w:rsidR="00333D87">
        <w:rPr>
          <w:rFonts w:eastAsia="Times New Roman" w:cs="Arial"/>
          <w:lang w:eastAsia="en-GB"/>
        </w:rPr>
        <w:t>; t</w:t>
      </w:r>
      <w:r w:rsidRPr="00505A77">
        <w:t>ota</w:t>
      </w:r>
      <w:r w:rsidR="00646E86">
        <w:t>l average spending on teaching  calculated as £992m/130,990</w:t>
      </w:r>
      <w:r w:rsidRPr="00505A77">
        <w:t xml:space="preserve"> = £7,570</w:t>
      </w:r>
      <w:r w:rsidR="00333D87">
        <w:t>; t</w:t>
      </w:r>
      <w:r w:rsidRPr="00505A77">
        <w:t>otal cost per £1,000 = £992m x 1000/7570 = £131m</w:t>
      </w:r>
      <w:r w:rsidR="00333D87">
        <w:t xml:space="preserve">. </w:t>
      </w:r>
      <w:r w:rsidRPr="00505A77">
        <w:t>Rough estimate of cost of £1,000 per head for the highest 50% by income = £131m x  50% = £65m</w:t>
      </w:r>
    </w:p>
    <w:p w:rsidR="00BE4853" w:rsidRPr="00F9586F" w:rsidRDefault="00505A77" w:rsidP="00F9586F">
      <w:pPr>
        <w:pStyle w:val="ListParagraph"/>
        <w:numPr>
          <w:ilvl w:val="0"/>
          <w:numId w:val="3"/>
        </w:numPr>
        <w:rPr>
          <w:u w:val="single"/>
        </w:rPr>
      </w:pPr>
      <w:r w:rsidRPr="00F9586F">
        <w:rPr>
          <w:u w:val="single"/>
        </w:rPr>
        <w:t>L</w:t>
      </w:r>
      <w:r w:rsidR="00BE4853" w:rsidRPr="00F9586F">
        <w:rPr>
          <w:u w:val="single"/>
        </w:rPr>
        <w:t>ong-term equity</w:t>
      </w:r>
    </w:p>
    <w:p w:rsidR="00BE4853" w:rsidRDefault="00505A77">
      <w:r>
        <w:t>My</w:t>
      </w:r>
      <w:r w:rsidR="00BE4853">
        <w:t xml:space="preserve"> </w:t>
      </w:r>
      <w:r>
        <w:t xml:space="preserve">ESRC-funded </w:t>
      </w:r>
      <w:r w:rsidR="00BE4853">
        <w:t xml:space="preserve">report </w:t>
      </w:r>
      <w:r>
        <w:rPr>
          <w:i/>
        </w:rPr>
        <w:t xml:space="preserve">The Fairest of Them All? </w:t>
      </w:r>
      <w:r w:rsidRPr="00505A77">
        <w:t>(February 2014)</w:t>
      </w:r>
      <w:r>
        <w:rPr>
          <w:i/>
        </w:rPr>
        <w:t xml:space="preserve"> </w:t>
      </w:r>
      <w:r w:rsidR="00BE4853">
        <w:t xml:space="preserve">contains a full comparison of the </w:t>
      </w:r>
      <w:r>
        <w:t xml:space="preserve">systems used in each part of the UK and their effects on </w:t>
      </w:r>
      <w:r w:rsidR="00BE4853">
        <w:t>debt distribution by income.</w:t>
      </w:r>
      <w:r>
        <w:t xml:space="preserve"> It is available here: </w:t>
      </w:r>
      <w:r w:rsidR="00BE4853" w:rsidRPr="00BE4853">
        <w:t>http://www.centreonconstitutionalchange.ac.uk/papers/creid-working-paper-3-fairest-them-all-support-scottish-students-full-time-higher-education</w:t>
      </w:r>
    </w:p>
    <w:p w:rsidR="00646E86" w:rsidRDefault="00505A77">
      <w:r>
        <w:t>The report</w:t>
      </w:r>
      <w:r w:rsidR="0051691A">
        <w:t xml:space="preserve"> was published before figures for actual borrowing in 2013-14 became available in October 2014.  Income-related figures are less clearly available for that year than previous ones, as a combined categ</w:t>
      </w:r>
      <w:r w:rsidR="00DC4E43">
        <w:t>ory has been used for those exempt from a contribution (in effect, deemed to have zero income and entitled to ma</w:t>
      </w:r>
      <w:r w:rsidR="00333D87">
        <w:t xml:space="preserve">ximum support) and those on too </w:t>
      </w:r>
      <w:r w:rsidR="00DC4E43">
        <w:t xml:space="preserve">high an income to qualify for any mean-tested support.  </w:t>
      </w:r>
      <w:r w:rsidR="009D13B5">
        <w:t>This combined group is shown in</w:t>
      </w:r>
      <w:r w:rsidR="00DC4E43">
        <w:t xml:space="preserve"> the first row in the table below.  For the </w:t>
      </w:r>
      <w:r w:rsidR="009D13B5">
        <w:t xml:space="preserve">remaining </w:t>
      </w:r>
      <w:r w:rsidR="00DC4E43">
        <w:t>income catego</w:t>
      </w:r>
      <w:r>
        <w:t xml:space="preserve">ries, </w:t>
      </w:r>
      <w:r w:rsidR="009D13B5">
        <w:t>lower</w:t>
      </w:r>
      <w:r>
        <w:t xml:space="preserve"> average borrowing </w:t>
      </w:r>
      <w:r w:rsidR="00DC4E43">
        <w:t xml:space="preserve">is evident as income </w:t>
      </w:r>
      <w:r w:rsidR="009D13B5">
        <w:t>rise</w:t>
      </w:r>
      <w:r w:rsidR="00DC4E43">
        <w:t>s.</w:t>
      </w:r>
    </w:p>
    <w:p w:rsidR="00646E86" w:rsidRDefault="00646E86">
      <w:r>
        <w:br w:type="page"/>
      </w:r>
    </w:p>
    <w:tbl>
      <w:tblPr>
        <w:tblpPr w:leftFromText="180" w:rightFromText="180" w:vertAnchor="page" w:horzAnchor="margin" w:tblpY="120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271"/>
        <w:gridCol w:w="1099"/>
        <w:gridCol w:w="1060"/>
        <w:gridCol w:w="1682"/>
      </w:tblGrid>
      <w:tr w:rsidR="00646E86" w:rsidRPr="00DC4E43" w:rsidTr="00646E86">
        <w:trPr>
          <w:trHeight w:val="450"/>
        </w:trPr>
        <w:tc>
          <w:tcPr>
            <w:tcW w:w="4360" w:type="dxa"/>
            <w:shd w:val="clear" w:color="000000" w:fill="D9D9D9"/>
            <w:noWrap/>
            <w:vAlign w:val="center"/>
            <w:hideMark/>
          </w:tcPr>
          <w:p w:rsidR="00646E86" w:rsidRPr="00DC4E43" w:rsidRDefault="00646E86" w:rsidP="00646E86">
            <w:pPr>
              <w:spacing w:after="0" w:line="240" w:lineRule="auto"/>
              <w:rPr>
                <w:rFonts w:eastAsia="Times New Roman" w:cs="Arial"/>
                <w:i/>
                <w:iCs/>
                <w:sz w:val="24"/>
                <w:szCs w:val="24"/>
                <w:lang w:eastAsia="en-GB"/>
              </w:rPr>
            </w:pPr>
            <w:r w:rsidRPr="00DC4E43">
              <w:rPr>
                <w:rFonts w:eastAsia="Times New Roman" w:cs="Arial"/>
                <w:i/>
                <w:iCs/>
                <w:sz w:val="24"/>
                <w:szCs w:val="24"/>
                <w:lang w:eastAsia="en-GB"/>
              </w:rPr>
              <w:t> </w:t>
            </w:r>
          </w:p>
        </w:tc>
        <w:tc>
          <w:tcPr>
            <w:tcW w:w="271" w:type="dxa"/>
            <w:shd w:val="clear" w:color="000000" w:fill="D9D9D9"/>
            <w:noWrap/>
            <w:vAlign w:val="center"/>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 </w:t>
            </w:r>
          </w:p>
        </w:tc>
        <w:tc>
          <w:tcPr>
            <w:tcW w:w="2159" w:type="dxa"/>
            <w:gridSpan w:val="2"/>
            <w:shd w:val="clear" w:color="000000" w:fill="D9D9D9"/>
            <w:noWrap/>
            <w:vAlign w:val="center"/>
            <w:hideMark/>
          </w:tcPr>
          <w:p w:rsidR="00646E86" w:rsidRPr="00DC4E43" w:rsidRDefault="00646E86" w:rsidP="00646E86">
            <w:pPr>
              <w:spacing w:after="0" w:line="240" w:lineRule="auto"/>
              <w:jc w:val="center"/>
              <w:rPr>
                <w:rFonts w:eastAsia="Times New Roman" w:cs="Arial"/>
                <w:b/>
                <w:bCs/>
                <w:sz w:val="24"/>
                <w:szCs w:val="24"/>
                <w:lang w:eastAsia="en-GB"/>
              </w:rPr>
            </w:pPr>
            <w:r w:rsidRPr="00DC4E43">
              <w:rPr>
                <w:rFonts w:eastAsia="Times New Roman" w:cs="Arial"/>
                <w:b/>
                <w:bCs/>
                <w:sz w:val="24"/>
                <w:szCs w:val="24"/>
                <w:lang w:eastAsia="en-GB"/>
              </w:rPr>
              <w:t>Loans</w:t>
            </w:r>
          </w:p>
        </w:tc>
        <w:tc>
          <w:tcPr>
            <w:tcW w:w="1682" w:type="dxa"/>
            <w:shd w:val="clear" w:color="000000" w:fill="D9D9D9"/>
          </w:tcPr>
          <w:p w:rsidR="00646E86" w:rsidRPr="00DC4E43" w:rsidRDefault="00646E86" w:rsidP="00646E86">
            <w:pPr>
              <w:spacing w:after="0" w:line="240" w:lineRule="auto"/>
              <w:jc w:val="center"/>
              <w:rPr>
                <w:rFonts w:eastAsia="Times New Roman" w:cs="Arial"/>
                <w:b/>
                <w:bCs/>
                <w:sz w:val="24"/>
                <w:szCs w:val="24"/>
                <w:lang w:eastAsia="en-GB"/>
              </w:rPr>
            </w:pPr>
          </w:p>
        </w:tc>
      </w:tr>
      <w:tr w:rsidR="00646E86" w:rsidRPr="00DC4E43" w:rsidTr="00646E86">
        <w:trPr>
          <w:trHeight w:val="945"/>
        </w:trPr>
        <w:tc>
          <w:tcPr>
            <w:tcW w:w="4360" w:type="dxa"/>
            <w:shd w:val="clear" w:color="000000" w:fill="D9D9D9"/>
            <w:noWrap/>
            <w:vAlign w:val="center"/>
            <w:hideMark/>
          </w:tcPr>
          <w:p w:rsidR="00646E86" w:rsidRPr="00DC4E43" w:rsidRDefault="00646E86" w:rsidP="00646E86">
            <w:pPr>
              <w:spacing w:after="0" w:line="240" w:lineRule="auto"/>
              <w:rPr>
                <w:rFonts w:eastAsia="Times New Roman" w:cs="Arial"/>
                <w:i/>
                <w:iCs/>
                <w:sz w:val="24"/>
                <w:szCs w:val="24"/>
                <w:lang w:eastAsia="en-GB"/>
              </w:rPr>
            </w:pPr>
            <w:r w:rsidRPr="00DC4E43">
              <w:rPr>
                <w:rFonts w:eastAsia="Times New Roman" w:cs="Arial"/>
                <w:i/>
                <w:iCs/>
                <w:sz w:val="24"/>
                <w:szCs w:val="24"/>
                <w:lang w:eastAsia="en-GB"/>
              </w:rPr>
              <w:t> </w:t>
            </w:r>
          </w:p>
        </w:tc>
        <w:tc>
          <w:tcPr>
            <w:tcW w:w="271" w:type="dxa"/>
            <w:shd w:val="clear" w:color="000000" w:fill="D9D9D9"/>
            <w:vAlign w:val="center"/>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 </w:t>
            </w:r>
          </w:p>
        </w:tc>
        <w:tc>
          <w:tcPr>
            <w:tcW w:w="1099" w:type="dxa"/>
            <w:shd w:val="clear" w:color="000000" w:fill="D9D9D9"/>
            <w:vAlign w:val="center"/>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Number of Students</w:t>
            </w:r>
          </w:p>
        </w:tc>
        <w:tc>
          <w:tcPr>
            <w:tcW w:w="1060" w:type="dxa"/>
            <w:shd w:val="clear" w:color="000000" w:fill="D9D9D9"/>
            <w:vAlign w:val="center"/>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Average Amount (£)</w:t>
            </w:r>
          </w:p>
        </w:tc>
        <w:tc>
          <w:tcPr>
            <w:tcW w:w="1682" w:type="dxa"/>
            <w:shd w:val="clear" w:color="000000" w:fill="D9D9D9"/>
          </w:tcPr>
          <w:p w:rsidR="00646E86" w:rsidRPr="00DC4E43" w:rsidRDefault="00646E86" w:rsidP="00646E86">
            <w:pPr>
              <w:spacing w:after="0" w:line="240" w:lineRule="auto"/>
              <w:jc w:val="right"/>
              <w:rPr>
                <w:rFonts w:eastAsia="Times New Roman" w:cs="Arial"/>
                <w:b/>
                <w:bCs/>
                <w:sz w:val="24"/>
                <w:szCs w:val="24"/>
                <w:lang w:eastAsia="en-GB"/>
              </w:rPr>
            </w:pPr>
            <w:r>
              <w:rPr>
                <w:rFonts w:eastAsia="Times New Roman" w:cs="Arial"/>
                <w:b/>
                <w:bCs/>
                <w:sz w:val="24"/>
                <w:szCs w:val="24"/>
                <w:lang w:eastAsia="en-GB"/>
              </w:rPr>
              <w:t>Loan take-up</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rPr>
                <w:rFonts w:eastAsia="Times New Roman" w:cs="Arial"/>
                <w:b/>
                <w:bCs/>
                <w:sz w:val="24"/>
                <w:szCs w:val="24"/>
                <w:lang w:eastAsia="en-GB"/>
              </w:rPr>
            </w:pPr>
            <w:r w:rsidRPr="00DC4E43">
              <w:rPr>
                <w:rFonts w:eastAsia="Times New Roman" w:cs="Arial"/>
                <w:b/>
                <w:bCs/>
                <w:sz w:val="24"/>
                <w:szCs w:val="24"/>
                <w:lang w:eastAsia="en-GB"/>
              </w:rPr>
              <w:t>All</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b/>
                <w:bCs/>
                <w:sz w:val="24"/>
                <w:szCs w:val="24"/>
                <w:lang w:eastAsia="en-GB"/>
              </w:rPr>
            </w:pP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85,655</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b/>
                <w:bCs/>
                <w:sz w:val="24"/>
                <w:szCs w:val="24"/>
                <w:lang w:eastAsia="en-GB"/>
              </w:rPr>
            </w:pPr>
            <w:r w:rsidRPr="00DC4E43">
              <w:rPr>
                <w:rFonts w:eastAsia="Times New Roman" w:cs="Arial"/>
                <w:b/>
                <w:bCs/>
                <w:sz w:val="24"/>
                <w:szCs w:val="24"/>
                <w:lang w:eastAsia="en-GB"/>
              </w:rPr>
              <w:t>5,020</w:t>
            </w:r>
          </w:p>
        </w:tc>
        <w:tc>
          <w:tcPr>
            <w:tcW w:w="1682" w:type="dxa"/>
            <w:vAlign w:val="center"/>
          </w:tcPr>
          <w:p w:rsidR="00646E86" w:rsidRDefault="00646E86" w:rsidP="00646E86">
            <w:pPr>
              <w:jc w:val="right"/>
              <w:rPr>
                <w:rFonts w:cs="Arial"/>
                <w:b/>
                <w:bCs/>
                <w:sz w:val="24"/>
                <w:szCs w:val="24"/>
              </w:rPr>
            </w:pPr>
            <w:r>
              <w:rPr>
                <w:rFonts w:cs="Arial"/>
                <w:b/>
                <w:bCs/>
              </w:rPr>
              <w:t>69%</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ind w:firstLineChars="100" w:firstLine="240"/>
              <w:rPr>
                <w:rFonts w:eastAsia="Times New Roman" w:cs="Arial"/>
                <w:sz w:val="24"/>
                <w:szCs w:val="24"/>
                <w:lang w:eastAsia="en-GB"/>
              </w:rPr>
            </w:pPr>
            <w:r w:rsidRPr="00DC4E43">
              <w:rPr>
                <w:rFonts w:eastAsia="Times New Roman" w:cs="Arial"/>
                <w:sz w:val="24"/>
                <w:szCs w:val="24"/>
                <w:lang w:eastAsia="en-GB"/>
              </w:rPr>
              <w:t>Income not declared / required</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sz w:val="24"/>
                <w:szCs w:val="24"/>
                <w:lang w:eastAsia="en-GB"/>
              </w:rPr>
            </w:pP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48,840</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4,710</w:t>
            </w:r>
          </w:p>
        </w:tc>
        <w:tc>
          <w:tcPr>
            <w:tcW w:w="1682" w:type="dxa"/>
            <w:vAlign w:val="center"/>
          </w:tcPr>
          <w:p w:rsidR="00646E86" w:rsidRDefault="00646E86" w:rsidP="00646E86">
            <w:pPr>
              <w:jc w:val="right"/>
              <w:rPr>
                <w:rFonts w:cs="Arial"/>
                <w:b/>
                <w:bCs/>
                <w:sz w:val="24"/>
                <w:szCs w:val="24"/>
              </w:rPr>
            </w:pPr>
            <w:r>
              <w:rPr>
                <w:rFonts w:cs="Arial"/>
                <w:b/>
                <w:bCs/>
              </w:rPr>
              <w:t>64%</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ind w:firstLineChars="100" w:firstLine="240"/>
              <w:rPr>
                <w:rFonts w:eastAsia="Times New Roman" w:cs="Arial"/>
                <w:sz w:val="24"/>
                <w:szCs w:val="24"/>
                <w:lang w:eastAsia="en-GB"/>
              </w:rPr>
            </w:pPr>
            <w:r w:rsidRPr="00DC4E43">
              <w:rPr>
                <w:rFonts w:eastAsia="Times New Roman" w:cs="Arial"/>
                <w:sz w:val="24"/>
                <w:szCs w:val="24"/>
                <w:lang w:eastAsia="en-GB"/>
              </w:rPr>
              <w:t>Up to £16,999</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sz w:val="24"/>
                <w:szCs w:val="24"/>
                <w:lang w:eastAsia="en-GB"/>
              </w:rPr>
            </w:pP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19,375</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5,610</w:t>
            </w:r>
          </w:p>
        </w:tc>
        <w:tc>
          <w:tcPr>
            <w:tcW w:w="1682" w:type="dxa"/>
            <w:vAlign w:val="center"/>
          </w:tcPr>
          <w:p w:rsidR="00646E86" w:rsidRDefault="00646E86" w:rsidP="00646E86">
            <w:pPr>
              <w:jc w:val="right"/>
              <w:rPr>
                <w:rFonts w:cs="Arial"/>
                <w:b/>
                <w:bCs/>
                <w:sz w:val="24"/>
                <w:szCs w:val="24"/>
              </w:rPr>
            </w:pPr>
            <w:r>
              <w:rPr>
                <w:rFonts w:cs="Arial"/>
                <w:b/>
                <w:bCs/>
              </w:rPr>
              <w:t>79%</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ind w:firstLineChars="100" w:firstLine="240"/>
              <w:rPr>
                <w:rFonts w:eastAsia="Times New Roman" w:cs="Arial"/>
                <w:sz w:val="24"/>
                <w:szCs w:val="24"/>
                <w:lang w:eastAsia="en-GB"/>
              </w:rPr>
            </w:pPr>
            <w:r w:rsidRPr="00DC4E43">
              <w:rPr>
                <w:rFonts w:eastAsia="Times New Roman" w:cs="Arial"/>
                <w:sz w:val="24"/>
                <w:szCs w:val="24"/>
                <w:lang w:eastAsia="en-GB"/>
              </w:rPr>
              <w:t>£17,000 to £23,999</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sz w:val="24"/>
                <w:szCs w:val="24"/>
                <w:lang w:eastAsia="en-GB"/>
              </w:rPr>
            </w:pP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7,175</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5,430</w:t>
            </w:r>
          </w:p>
        </w:tc>
        <w:tc>
          <w:tcPr>
            <w:tcW w:w="1682" w:type="dxa"/>
            <w:vAlign w:val="center"/>
          </w:tcPr>
          <w:p w:rsidR="00646E86" w:rsidRDefault="00646E86" w:rsidP="00646E86">
            <w:pPr>
              <w:jc w:val="right"/>
              <w:rPr>
                <w:rFonts w:cs="Arial"/>
                <w:b/>
                <w:bCs/>
                <w:sz w:val="24"/>
                <w:szCs w:val="24"/>
              </w:rPr>
            </w:pPr>
            <w:r>
              <w:rPr>
                <w:rFonts w:cs="Arial"/>
                <w:b/>
                <w:bCs/>
              </w:rPr>
              <w:t>78%</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ind w:firstLineChars="100" w:firstLine="240"/>
              <w:rPr>
                <w:rFonts w:eastAsia="Times New Roman" w:cs="Arial"/>
                <w:sz w:val="24"/>
                <w:szCs w:val="24"/>
                <w:lang w:eastAsia="en-GB"/>
              </w:rPr>
            </w:pPr>
            <w:r w:rsidRPr="00DC4E43">
              <w:rPr>
                <w:rFonts w:eastAsia="Times New Roman" w:cs="Arial"/>
                <w:sz w:val="24"/>
                <w:szCs w:val="24"/>
                <w:lang w:eastAsia="en-GB"/>
              </w:rPr>
              <w:t>£24,000 to £33,999</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sz w:val="24"/>
                <w:szCs w:val="24"/>
                <w:lang w:eastAsia="en-GB"/>
              </w:rPr>
            </w:pP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7,510</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5,320</w:t>
            </w:r>
          </w:p>
        </w:tc>
        <w:tc>
          <w:tcPr>
            <w:tcW w:w="1682" w:type="dxa"/>
            <w:vAlign w:val="center"/>
          </w:tcPr>
          <w:p w:rsidR="00646E86" w:rsidRDefault="00646E86" w:rsidP="00646E86">
            <w:pPr>
              <w:jc w:val="right"/>
              <w:rPr>
                <w:rFonts w:cs="Arial"/>
                <w:b/>
                <w:bCs/>
                <w:sz w:val="24"/>
                <w:szCs w:val="24"/>
              </w:rPr>
            </w:pPr>
            <w:r>
              <w:rPr>
                <w:rFonts w:cs="Arial"/>
                <w:b/>
                <w:bCs/>
              </w:rPr>
              <w:t>78%</w:t>
            </w:r>
          </w:p>
        </w:tc>
      </w:tr>
      <w:tr w:rsidR="00646E86" w:rsidRPr="00DC4E43" w:rsidTr="00646E86">
        <w:trPr>
          <w:trHeight w:val="375"/>
        </w:trPr>
        <w:tc>
          <w:tcPr>
            <w:tcW w:w="4360" w:type="dxa"/>
            <w:shd w:val="clear" w:color="auto" w:fill="auto"/>
            <w:noWrap/>
            <w:vAlign w:val="bottom"/>
            <w:hideMark/>
          </w:tcPr>
          <w:p w:rsidR="00646E86" w:rsidRPr="00DC4E43" w:rsidRDefault="00646E86" w:rsidP="00646E86">
            <w:pPr>
              <w:spacing w:after="0" w:line="240" w:lineRule="auto"/>
              <w:ind w:firstLineChars="100" w:firstLine="240"/>
              <w:rPr>
                <w:rFonts w:eastAsia="Times New Roman" w:cs="Arial"/>
                <w:sz w:val="24"/>
                <w:szCs w:val="24"/>
                <w:lang w:eastAsia="en-GB"/>
              </w:rPr>
            </w:pPr>
            <w:r w:rsidRPr="00DC4E43">
              <w:rPr>
                <w:rFonts w:eastAsia="Times New Roman" w:cs="Arial"/>
                <w:sz w:val="24"/>
                <w:szCs w:val="24"/>
                <w:lang w:eastAsia="en-GB"/>
              </w:rPr>
              <w:t>£34,000 and above</w:t>
            </w:r>
          </w:p>
        </w:tc>
        <w:tc>
          <w:tcPr>
            <w:tcW w:w="271" w:type="dxa"/>
            <w:shd w:val="clear" w:color="auto" w:fill="auto"/>
            <w:noWrap/>
            <w:vAlign w:val="bottom"/>
            <w:hideMark/>
          </w:tcPr>
          <w:p w:rsidR="00646E86" w:rsidRPr="00DC4E43" w:rsidRDefault="00646E86" w:rsidP="00646E86">
            <w:pPr>
              <w:spacing w:after="0" w:line="240" w:lineRule="auto"/>
              <w:rPr>
                <w:rFonts w:eastAsia="Times New Roman" w:cs="Arial"/>
                <w:sz w:val="24"/>
                <w:szCs w:val="24"/>
                <w:lang w:eastAsia="en-GB"/>
              </w:rPr>
            </w:pPr>
            <w:r w:rsidRPr="00DC4E43">
              <w:rPr>
                <w:rFonts w:eastAsia="Times New Roman" w:cs="Arial"/>
                <w:sz w:val="24"/>
                <w:szCs w:val="24"/>
                <w:lang w:eastAsia="en-GB"/>
              </w:rPr>
              <w:t> </w:t>
            </w:r>
          </w:p>
        </w:tc>
        <w:tc>
          <w:tcPr>
            <w:tcW w:w="1099"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2,755</w:t>
            </w:r>
          </w:p>
        </w:tc>
        <w:tc>
          <w:tcPr>
            <w:tcW w:w="1060" w:type="dxa"/>
            <w:shd w:val="clear" w:color="auto" w:fill="auto"/>
            <w:noWrap/>
            <w:vAlign w:val="bottom"/>
            <w:hideMark/>
          </w:tcPr>
          <w:p w:rsidR="00646E86" w:rsidRPr="00DC4E43" w:rsidRDefault="00646E86" w:rsidP="00646E86">
            <w:pPr>
              <w:spacing w:after="0" w:line="240" w:lineRule="auto"/>
              <w:jc w:val="right"/>
              <w:rPr>
                <w:rFonts w:eastAsia="Times New Roman" w:cs="Arial"/>
                <w:sz w:val="24"/>
                <w:szCs w:val="24"/>
                <w:lang w:eastAsia="en-GB"/>
              </w:rPr>
            </w:pPr>
            <w:r w:rsidRPr="00DC4E43">
              <w:rPr>
                <w:rFonts w:eastAsia="Times New Roman" w:cs="Arial"/>
                <w:sz w:val="24"/>
                <w:szCs w:val="24"/>
                <w:lang w:eastAsia="en-GB"/>
              </w:rPr>
              <w:t>4,340</w:t>
            </w:r>
          </w:p>
        </w:tc>
        <w:tc>
          <w:tcPr>
            <w:tcW w:w="1682" w:type="dxa"/>
            <w:vAlign w:val="center"/>
          </w:tcPr>
          <w:p w:rsidR="00646E86" w:rsidRDefault="00646E86" w:rsidP="00646E86">
            <w:pPr>
              <w:jc w:val="right"/>
              <w:rPr>
                <w:rFonts w:cs="Arial"/>
                <w:b/>
                <w:bCs/>
                <w:sz w:val="24"/>
                <w:szCs w:val="24"/>
              </w:rPr>
            </w:pPr>
            <w:r>
              <w:rPr>
                <w:rFonts w:cs="Arial"/>
                <w:b/>
                <w:bCs/>
              </w:rPr>
              <w:t>73%</w:t>
            </w:r>
          </w:p>
        </w:tc>
      </w:tr>
    </w:tbl>
    <w:p w:rsidR="00646E86" w:rsidRDefault="00646E86" w:rsidP="001D68DF"/>
    <w:p w:rsidR="00646E86" w:rsidRDefault="00646E86" w:rsidP="001D68DF"/>
    <w:p w:rsidR="00646E86" w:rsidRDefault="00646E86" w:rsidP="001D68DF"/>
    <w:p w:rsidR="00646E86" w:rsidRDefault="00646E86" w:rsidP="001D68DF"/>
    <w:p w:rsidR="00646E86" w:rsidRDefault="00646E86" w:rsidP="001D68DF"/>
    <w:p w:rsidR="00646E86" w:rsidRDefault="00646E86" w:rsidP="001D68DF"/>
    <w:p w:rsidR="00646E86" w:rsidRDefault="00646E86" w:rsidP="001D68DF"/>
    <w:p w:rsidR="00646E86" w:rsidRDefault="00646E86" w:rsidP="001D68DF"/>
    <w:p w:rsidR="00646E86" w:rsidRDefault="00646E86" w:rsidP="001D68DF"/>
    <w:p w:rsidR="00DC4E43" w:rsidRPr="00893A75" w:rsidRDefault="00DC4E43" w:rsidP="001D68DF">
      <w:pPr>
        <w:rPr>
          <w:sz w:val="20"/>
          <w:szCs w:val="20"/>
        </w:rPr>
      </w:pPr>
      <w:r w:rsidRPr="00893A75">
        <w:rPr>
          <w:sz w:val="20"/>
          <w:szCs w:val="20"/>
        </w:rPr>
        <w:t>Source: SAAS</w:t>
      </w:r>
      <w:r w:rsidR="00646E86" w:rsidRPr="00893A75">
        <w:rPr>
          <w:sz w:val="20"/>
          <w:szCs w:val="20"/>
        </w:rPr>
        <w:t>. Take-up figures for “All” and “income not declared/required” adjusted to</w:t>
      </w:r>
      <w:r w:rsidR="00893A75">
        <w:rPr>
          <w:sz w:val="20"/>
          <w:szCs w:val="20"/>
        </w:rPr>
        <w:t xml:space="preserve"> remove EU students from the baseline, to</w:t>
      </w:r>
      <w:r w:rsidR="00646E86" w:rsidRPr="00893A75">
        <w:rPr>
          <w:sz w:val="20"/>
          <w:szCs w:val="20"/>
        </w:rPr>
        <w:t xml:space="preserve"> reflect that EU-domiciled students generally have no access to loans or grants and are likely to be concentrated in the “not declared” group.</w:t>
      </w:r>
      <w:r w:rsidR="00893A75" w:rsidRPr="00893A75">
        <w:rPr>
          <w:sz w:val="20"/>
          <w:szCs w:val="20"/>
        </w:rPr>
        <w:t xml:space="preserve">  Th</w:t>
      </w:r>
      <w:r w:rsidR="00646E86" w:rsidRPr="00893A75">
        <w:rPr>
          <w:sz w:val="20"/>
          <w:szCs w:val="20"/>
        </w:rPr>
        <w:t>e “not declared/required”</w:t>
      </w:r>
      <w:r w:rsidR="00893A75">
        <w:rPr>
          <w:sz w:val="20"/>
          <w:szCs w:val="20"/>
        </w:rPr>
        <w:t xml:space="preserve"> group</w:t>
      </w:r>
      <w:r w:rsidR="00646E86" w:rsidRPr="00893A75">
        <w:rPr>
          <w:sz w:val="20"/>
          <w:szCs w:val="20"/>
        </w:rPr>
        <w:t xml:space="preserve"> comprises a minority of very low income students likely to have a take-up closer to 80%</w:t>
      </w:r>
      <w:r w:rsidR="00893A75">
        <w:rPr>
          <w:sz w:val="20"/>
          <w:szCs w:val="20"/>
        </w:rPr>
        <w:t xml:space="preserve"> and an average over £6,000</w:t>
      </w:r>
      <w:r w:rsidR="00646E86" w:rsidRPr="00893A75">
        <w:rPr>
          <w:sz w:val="20"/>
          <w:szCs w:val="20"/>
        </w:rPr>
        <w:t xml:space="preserve"> and a better-off majority</w:t>
      </w:r>
      <w:r w:rsidR="00893A75" w:rsidRPr="00893A75">
        <w:rPr>
          <w:sz w:val="20"/>
          <w:szCs w:val="20"/>
        </w:rPr>
        <w:t xml:space="preserve"> likely to have a take-up rate closer to 60%</w:t>
      </w:r>
      <w:r w:rsidR="00893A75">
        <w:rPr>
          <w:sz w:val="20"/>
          <w:szCs w:val="20"/>
        </w:rPr>
        <w:t xml:space="preserve"> and an average closer to £4,500</w:t>
      </w:r>
      <w:r w:rsidR="00893A75" w:rsidRPr="00893A75">
        <w:rPr>
          <w:sz w:val="20"/>
          <w:szCs w:val="20"/>
        </w:rPr>
        <w:t>.</w:t>
      </w:r>
    </w:p>
    <w:p w:rsidR="00893A75" w:rsidRDefault="00893A75" w:rsidP="00DC4E43">
      <w:pPr>
        <w:spacing w:line="240" w:lineRule="auto"/>
      </w:pPr>
    </w:p>
    <w:p w:rsidR="00DC4E43" w:rsidRDefault="00333D87" w:rsidP="00DC4E43">
      <w:pPr>
        <w:spacing w:line="240" w:lineRule="auto"/>
      </w:pPr>
      <w:r>
        <w:t>S</w:t>
      </w:r>
      <w:r w:rsidR="00DC4E43" w:rsidRPr="009D13B5">
        <w:t>eparate figures from SAAS show average borrowing of</w:t>
      </w:r>
      <w:r w:rsidR="00646E86">
        <w:t xml:space="preserve"> </w:t>
      </w:r>
      <w:r w:rsidR="00DC4E43" w:rsidRPr="009D13B5">
        <w:t xml:space="preserve">£ </w:t>
      </w:r>
      <w:r w:rsidR="00DC4E43" w:rsidRPr="009D13B5">
        <w:rPr>
          <w:rFonts w:eastAsia="Times New Roman" w:cs="Arial"/>
          <w:lang w:eastAsia="en-GB"/>
        </w:rPr>
        <w:t>5,780</w:t>
      </w:r>
      <w:r w:rsidR="00DC4E43" w:rsidRPr="009D13B5">
        <w:t xml:space="preserve"> for those claiming means-tested loan (requirin</w:t>
      </w:r>
      <w:r w:rsidR="00646E86">
        <w:t xml:space="preserve">g an income below £34,000) and </w:t>
      </w:r>
      <w:r w:rsidR="00DC4E43" w:rsidRPr="009D13B5">
        <w:t>£</w:t>
      </w:r>
      <w:r w:rsidR="00DC4E43" w:rsidRPr="009D13B5">
        <w:rPr>
          <w:rFonts w:eastAsia="Times New Roman" w:cs="Arial"/>
          <w:lang w:eastAsia="en-GB"/>
        </w:rPr>
        <w:t xml:space="preserve">4,140 for </w:t>
      </w:r>
      <w:r w:rsidR="00505A77" w:rsidRPr="009D13B5">
        <w:t>those not using me</w:t>
      </w:r>
      <w:r w:rsidR="00DC4E43" w:rsidRPr="009D13B5">
        <w:t>a</w:t>
      </w:r>
      <w:r w:rsidR="00505A77" w:rsidRPr="009D13B5">
        <w:t>ns-test</w:t>
      </w:r>
      <w:r w:rsidR="00DC4E43" w:rsidRPr="009D13B5">
        <w:t>ed loan, who will predominantly have incomes over £34,000.</w:t>
      </w:r>
    </w:p>
    <w:p w:rsidR="00DC4E43" w:rsidRPr="009D13B5" w:rsidRDefault="00DC4E43" w:rsidP="001D68DF">
      <w:r w:rsidRPr="009D13B5">
        <w:t>A different</w:t>
      </w:r>
      <w:r w:rsidR="00333D87">
        <w:t xml:space="preserve">, flatter </w:t>
      </w:r>
      <w:r w:rsidRPr="009D13B5">
        <w:t>pattern of borrowing is found elsewhere in the UK</w:t>
      </w:r>
      <w:r w:rsidR="009D13B5">
        <w:t xml:space="preserve">,  with a tendency to </w:t>
      </w:r>
      <w:r w:rsidR="009D13B5" w:rsidRPr="00333D87">
        <w:rPr>
          <w:u w:val="single"/>
        </w:rPr>
        <w:t xml:space="preserve">lower </w:t>
      </w:r>
      <w:r w:rsidR="009D13B5">
        <w:t>borrowing at lower incomes</w:t>
      </w:r>
      <w:r w:rsidR="00505A77" w:rsidRPr="009D13B5">
        <w:t xml:space="preserve"> (2012-13 data th</w:t>
      </w:r>
      <w:r w:rsidR="009D13B5">
        <w:t>e latest available in this form</w:t>
      </w:r>
      <w:r w:rsidR="00505A77" w:rsidRPr="009D13B5">
        <w:t>)</w:t>
      </w:r>
      <w:r w:rsidRPr="009D13B5">
        <w:t xml:space="preserve">: </w:t>
      </w:r>
      <w:r w:rsidR="009D13B5">
        <w:t xml:space="preserve"> this is shown below.</w:t>
      </w:r>
    </w:p>
    <w:p w:rsidR="00DC4E43" w:rsidRDefault="00DC4E43" w:rsidP="001D68DF">
      <w:r>
        <w:rPr>
          <w:noProof/>
          <w:lang w:eastAsia="en-GB"/>
        </w:rPr>
        <w:drawing>
          <wp:inline distT="0" distB="0" distL="0" distR="0" wp14:anchorId="3D2EC730" wp14:editId="78951D38">
            <wp:extent cx="5772150" cy="2867025"/>
            <wp:effectExtent l="0" t="0" r="1905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05A77" w:rsidRDefault="00505A77" w:rsidP="001D68DF">
      <w:r w:rsidRPr="004C51CA">
        <w:rPr>
          <w:noProof/>
          <w:szCs w:val="24"/>
          <w:lang w:eastAsia="en-GB"/>
        </w:rPr>
        <w:drawing>
          <wp:anchor distT="0" distB="0" distL="114300" distR="114300" simplePos="0" relativeHeight="251659264" behindDoc="0" locked="0" layoutInCell="1" allowOverlap="1" wp14:anchorId="1E4C1E5D" wp14:editId="69359758">
            <wp:simplePos x="0" y="0"/>
            <wp:positionH relativeFrom="column">
              <wp:posOffset>-38100</wp:posOffset>
            </wp:positionH>
            <wp:positionV relativeFrom="paragraph">
              <wp:posOffset>895350</wp:posOffset>
            </wp:positionV>
            <wp:extent cx="6019800" cy="3876675"/>
            <wp:effectExtent l="0" t="0" r="19050" b="9525"/>
            <wp:wrapTopAndBottom/>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t xml:space="preserve"> </w:t>
      </w:r>
      <w:r w:rsidR="009D13B5" w:rsidRPr="009D13B5">
        <w:t>Source: Student Loans Company</w:t>
      </w:r>
    </w:p>
    <w:p w:rsidR="00505A77" w:rsidRDefault="00505A77" w:rsidP="001D68DF">
      <w:r>
        <w:t xml:space="preserve">These different effects are due to the greater use of income-related grant in other parts of the UK. </w:t>
      </w:r>
      <w:r w:rsidR="009D13B5">
        <w:t>Grant entitlements</w:t>
      </w:r>
      <w:r>
        <w:t xml:space="preserve"> for 2014-15 for each part of the UK are shown below.</w:t>
      </w:r>
    </w:p>
    <w:p w:rsidR="00F9586F" w:rsidRDefault="00893A75" w:rsidP="001D68DF">
      <w:r>
        <w:t>Source: Official student finance calculators; SAAS</w:t>
      </w:r>
    </w:p>
    <w:p w:rsidR="00F9586F" w:rsidRPr="00F9586F" w:rsidRDefault="00F9586F" w:rsidP="00F9586F">
      <w:pPr>
        <w:pStyle w:val="NormalWeb"/>
        <w:rPr>
          <w:rFonts w:asciiTheme="minorHAnsi" w:hAnsiTheme="minorHAnsi"/>
          <w:sz w:val="22"/>
          <w:szCs w:val="22"/>
        </w:rPr>
      </w:pPr>
      <w:r w:rsidRPr="00F9586F">
        <w:rPr>
          <w:rFonts w:asciiTheme="minorHAnsi" w:hAnsiTheme="minorHAnsi"/>
          <w:sz w:val="22"/>
          <w:szCs w:val="22"/>
        </w:rPr>
        <w:t xml:space="preserve">The Scottish Government </w:t>
      </w:r>
      <w:r w:rsidR="00333D87">
        <w:rPr>
          <w:rFonts w:asciiTheme="minorHAnsi" w:hAnsiTheme="minorHAnsi"/>
          <w:sz w:val="22"/>
          <w:szCs w:val="22"/>
        </w:rPr>
        <w:t xml:space="preserve">routinely quotes </w:t>
      </w:r>
      <w:r w:rsidR="00333D87" w:rsidRPr="009E64D8">
        <w:rPr>
          <w:rFonts w:asciiTheme="minorHAnsi" w:hAnsiTheme="minorHAnsi"/>
          <w:b/>
          <w:sz w:val="22"/>
          <w:szCs w:val="22"/>
        </w:rPr>
        <w:t>final debt figures issued by the SLC</w:t>
      </w:r>
      <w:r w:rsidR="00333D87">
        <w:rPr>
          <w:rFonts w:asciiTheme="minorHAnsi" w:hAnsiTheme="minorHAnsi"/>
          <w:sz w:val="22"/>
          <w:szCs w:val="22"/>
        </w:rPr>
        <w:t xml:space="preserve"> in </w:t>
      </w:r>
      <w:r>
        <w:rPr>
          <w:rFonts w:asciiTheme="minorHAnsi" w:hAnsiTheme="minorHAnsi"/>
          <w:sz w:val="22"/>
          <w:szCs w:val="22"/>
        </w:rPr>
        <w:t>defence of the present arran</w:t>
      </w:r>
      <w:r w:rsidRPr="00F9586F">
        <w:rPr>
          <w:rFonts w:asciiTheme="minorHAnsi" w:hAnsiTheme="minorHAnsi"/>
          <w:sz w:val="22"/>
          <w:szCs w:val="22"/>
        </w:rPr>
        <w:t>ge</w:t>
      </w:r>
      <w:r>
        <w:rPr>
          <w:rFonts w:asciiTheme="minorHAnsi" w:hAnsiTheme="minorHAnsi"/>
          <w:sz w:val="22"/>
          <w:szCs w:val="22"/>
        </w:rPr>
        <w:t>ments</w:t>
      </w:r>
      <w:r w:rsidR="00333D87">
        <w:rPr>
          <w:rFonts w:asciiTheme="minorHAnsi" w:hAnsiTheme="minorHAnsi"/>
          <w:sz w:val="22"/>
          <w:szCs w:val="22"/>
        </w:rPr>
        <w:t xml:space="preserve">.  The </w:t>
      </w:r>
      <w:r w:rsidR="00333D87" w:rsidRPr="00F9586F">
        <w:rPr>
          <w:rFonts w:asciiTheme="minorHAnsi" w:hAnsiTheme="minorHAnsi"/>
          <w:sz w:val="22"/>
          <w:szCs w:val="22"/>
        </w:rPr>
        <w:t>difficulties with</w:t>
      </w:r>
      <w:r w:rsidR="00333D87">
        <w:rPr>
          <w:rFonts w:asciiTheme="minorHAnsi" w:hAnsiTheme="minorHAnsi"/>
          <w:sz w:val="22"/>
          <w:szCs w:val="22"/>
        </w:rPr>
        <w:t xml:space="preserve"> these</w:t>
      </w:r>
      <w:r w:rsidRPr="00F9586F">
        <w:rPr>
          <w:rFonts w:asciiTheme="minorHAnsi" w:hAnsiTheme="minorHAnsi"/>
          <w:sz w:val="22"/>
          <w:szCs w:val="22"/>
        </w:rPr>
        <w:t xml:space="preserve"> </w:t>
      </w:r>
      <w:hyperlink r:id="rId20" w:history="1">
        <w:r w:rsidRPr="00F9586F">
          <w:rPr>
            <w:rStyle w:val="Hyperlink"/>
            <w:rFonts w:asciiTheme="minorHAnsi" w:hAnsiTheme="minorHAnsi"/>
            <w:sz w:val="22"/>
            <w:szCs w:val="22"/>
          </w:rPr>
          <w:t xml:space="preserve"> are discussed in more detail here</w:t>
        </w:r>
      </w:hyperlink>
      <w:r w:rsidR="00333D87">
        <w:rPr>
          <w:rFonts w:asciiTheme="minorHAnsi" w:hAnsiTheme="minorHAnsi"/>
          <w:sz w:val="22"/>
          <w:szCs w:val="22"/>
        </w:rPr>
        <w:t>. In summary:</w:t>
      </w:r>
    </w:p>
    <w:p w:rsidR="006C1227" w:rsidRDefault="006C1227" w:rsidP="00F9586F">
      <w:pPr>
        <w:numPr>
          <w:ilvl w:val="0"/>
          <w:numId w:val="6"/>
        </w:numPr>
        <w:spacing w:before="100" w:beforeAutospacing="1" w:after="100" w:afterAutospacing="1" w:line="240" w:lineRule="auto"/>
        <w:rPr>
          <w:rFonts w:asciiTheme="minorHAnsi" w:hAnsiTheme="minorHAnsi"/>
        </w:rPr>
      </w:pPr>
      <w:r w:rsidRPr="006C1227">
        <w:rPr>
          <w:rFonts w:asciiTheme="minorHAnsi" w:hAnsiTheme="minorHAnsi"/>
        </w:rPr>
        <w:t xml:space="preserve">They are </w:t>
      </w:r>
      <w:r w:rsidRPr="006C1227">
        <w:rPr>
          <w:rFonts w:asciiTheme="minorHAnsi" w:hAnsiTheme="minorHAnsi"/>
          <w:u w:val="single"/>
        </w:rPr>
        <w:t>historic</w:t>
      </w:r>
      <w:r w:rsidRPr="006C1227">
        <w:rPr>
          <w:rFonts w:asciiTheme="minorHAnsi" w:hAnsiTheme="minorHAnsi"/>
        </w:rPr>
        <w:t xml:space="preserve">, reflecting the debt </w:t>
      </w:r>
      <w:r w:rsidR="00333D87">
        <w:rPr>
          <w:rFonts w:asciiTheme="minorHAnsi" w:hAnsiTheme="minorHAnsi"/>
        </w:rPr>
        <w:t xml:space="preserve">of </w:t>
      </w:r>
      <w:r w:rsidRPr="006C1227">
        <w:rPr>
          <w:rFonts w:asciiTheme="minorHAnsi" w:hAnsiTheme="minorHAnsi"/>
        </w:rPr>
        <w:t>students have who left college or university in the previous year</w:t>
      </w:r>
      <w:r w:rsidR="009D13B5">
        <w:rPr>
          <w:rFonts w:asciiTheme="minorHAnsi" w:hAnsiTheme="minorHAnsi"/>
        </w:rPr>
        <w:t>, not those affected by current policy</w:t>
      </w:r>
      <w:r w:rsidRPr="006C1227">
        <w:rPr>
          <w:rFonts w:asciiTheme="minorHAnsi" w:hAnsiTheme="minorHAnsi"/>
        </w:rPr>
        <w:t>.</w:t>
      </w:r>
    </w:p>
    <w:p w:rsidR="006C1227" w:rsidRPr="006C1227" w:rsidRDefault="00F9586F" w:rsidP="00F9586F">
      <w:pPr>
        <w:numPr>
          <w:ilvl w:val="0"/>
          <w:numId w:val="6"/>
        </w:numPr>
        <w:spacing w:before="100" w:beforeAutospacing="1" w:after="100" w:afterAutospacing="1" w:line="240" w:lineRule="auto"/>
        <w:rPr>
          <w:rFonts w:asciiTheme="minorHAnsi" w:hAnsiTheme="minorHAnsi"/>
        </w:rPr>
      </w:pPr>
      <w:r w:rsidRPr="006C1227">
        <w:rPr>
          <w:rFonts w:asciiTheme="minorHAnsi" w:hAnsiTheme="minorHAnsi"/>
          <w:u w:val="single"/>
        </w:rPr>
        <w:t>Scotland has a higher proportion of students on one- and two-year HN-level courses</w:t>
      </w:r>
      <w:r w:rsidRPr="006C1227">
        <w:rPr>
          <w:rFonts w:asciiTheme="minorHAnsi" w:hAnsiTheme="minorHAnsi"/>
        </w:rPr>
        <w:t xml:space="preserve">, which pulls down its average.  The Scottish figure represents the equivalent of a little under 3 years’ worth of borrowing, while the standard length degree is four years.  Figures for the other UK nations  also equal around 3 years’ borrowing on average – but that is much more typically the length of time it takes to obtain a degree in those places. So to compare the </w:t>
      </w:r>
      <w:r w:rsidRPr="006C1227">
        <w:rPr>
          <w:rStyle w:val="Emphasis"/>
          <w:rFonts w:asciiTheme="minorHAnsi" w:hAnsiTheme="minorHAnsi"/>
        </w:rPr>
        <w:t>average experience of a university student</w:t>
      </w:r>
      <w:r w:rsidRPr="006C1227">
        <w:rPr>
          <w:rFonts w:asciiTheme="minorHAnsi" w:hAnsiTheme="minorHAnsi"/>
        </w:rPr>
        <w:t>, the Scottish figure needs to be “grossed up” by one-third.</w:t>
      </w:r>
    </w:p>
    <w:p w:rsidR="00F9586F" w:rsidRPr="006C1227" w:rsidRDefault="009D13B5" w:rsidP="00F9586F">
      <w:pPr>
        <w:numPr>
          <w:ilvl w:val="0"/>
          <w:numId w:val="6"/>
        </w:numPr>
        <w:spacing w:before="100" w:beforeAutospacing="1" w:after="100" w:afterAutospacing="1" w:line="240" w:lineRule="auto"/>
        <w:rPr>
          <w:rFonts w:asciiTheme="minorHAnsi" w:hAnsiTheme="minorHAnsi"/>
        </w:rPr>
      </w:pPr>
      <w:r>
        <w:rPr>
          <w:rFonts w:asciiTheme="minorHAnsi" w:hAnsiTheme="minorHAnsi"/>
        </w:rPr>
        <w:t>I</w:t>
      </w:r>
      <w:r w:rsidR="00F9586F" w:rsidRPr="006C1227">
        <w:rPr>
          <w:rFonts w:asciiTheme="minorHAnsi" w:hAnsiTheme="minorHAnsi"/>
        </w:rPr>
        <w:t>mportantly,</w:t>
      </w:r>
      <w:r w:rsidR="00F9586F" w:rsidRPr="006C1227">
        <w:rPr>
          <w:rStyle w:val="Strong"/>
          <w:rFonts w:asciiTheme="minorHAnsi" w:hAnsiTheme="minorHAnsi"/>
        </w:rPr>
        <w:t xml:space="preserve"> </w:t>
      </w:r>
      <w:r w:rsidR="00F9586F" w:rsidRPr="006C1227">
        <w:rPr>
          <w:rStyle w:val="Strong"/>
          <w:rFonts w:asciiTheme="minorHAnsi" w:hAnsiTheme="minorHAnsi"/>
          <w:b w:val="0"/>
          <w:u w:val="single"/>
        </w:rPr>
        <w:t>the average conceals variation by income</w:t>
      </w:r>
      <w:r w:rsidR="00F9586F" w:rsidRPr="006C1227">
        <w:rPr>
          <w:rFonts w:asciiTheme="minorHAnsi" w:hAnsiTheme="minorHAnsi"/>
        </w:rPr>
        <w:t xml:space="preserve">.  This is particularly true in Scotland where – uniquely – those from lower incomes tend to borrow </w:t>
      </w:r>
      <w:r w:rsidR="00F9586F" w:rsidRPr="006C1227">
        <w:rPr>
          <w:rStyle w:val="Emphasis"/>
          <w:rFonts w:asciiTheme="minorHAnsi" w:hAnsiTheme="minorHAnsi"/>
        </w:rPr>
        <w:t>above</w:t>
      </w:r>
      <w:r w:rsidR="00F9586F" w:rsidRPr="006C1227">
        <w:rPr>
          <w:rFonts w:asciiTheme="minorHAnsi" w:hAnsiTheme="minorHAnsi"/>
        </w:rPr>
        <w:t xml:space="preserve"> average, rather than </w:t>
      </w:r>
      <w:r w:rsidR="00F9586F" w:rsidRPr="006C1227">
        <w:rPr>
          <w:rStyle w:val="Emphasis"/>
          <w:rFonts w:asciiTheme="minorHAnsi" w:hAnsiTheme="minorHAnsi"/>
        </w:rPr>
        <w:t>below</w:t>
      </w:r>
      <w:r w:rsidR="00F9586F" w:rsidRPr="006C1227">
        <w:rPr>
          <w:rFonts w:asciiTheme="minorHAnsi" w:hAnsiTheme="minorHAnsi"/>
        </w:rPr>
        <w:t xml:space="preserve">. </w:t>
      </w:r>
    </w:p>
    <w:p w:rsidR="00F9586F" w:rsidRPr="00F9586F" w:rsidRDefault="00F9586F" w:rsidP="00893A75">
      <w:pPr>
        <w:pStyle w:val="NormalWeb"/>
        <w:rPr>
          <w:rFonts w:asciiTheme="minorHAnsi" w:hAnsiTheme="minorHAnsi"/>
        </w:rPr>
      </w:pPr>
      <w:r w:rsidRPr="00F9586F">
        <w:rPr>
          <w:rFonts w:asciiTheme="minorHAnsi" w:hAnsiTheme="minorHAnsi"/>
          <w:sz w:val="22"/>
          <w:szCs w:val="22"/>
        </w:rPr>
        <w:t xml:space="preserve">The figures derived from SAAS data give a much more accurate reflection of what poorer Scots </w:t>
      </w:r>
      <w:r w:rsidR="006C1227">
        <w:rPr>
          <w:rFonts w:asciiTheme="minorHAnsi" w:hAnsiTheme="minorHAnsi"/>
          <w:sz w:val="22"/>
          <w:szCs w:val="22"/>
        </w:rPr>
        <w:t>at</w:t>
      </w:r>
      <w:r w:rsidRPr="00F9586F">
        <w:rPr>
          <w:rFonts w:asciiTheme="minorHAnsi" w:hAnsiTheme="minorHAnsi"/>
          <w:sz w:val="22"/>
          <w:szCs w:val="22"/>
        </w:rPr>
        <w:t xml:space="preserve"> university in Scotland will typically have borrowed.  </w:t>
      </w:r>
      <w:r w:rsidR="006C1227">
        <w:rPr>
          <w:rFonts w:asciiTheme="minorHAnsi" w:hAnsiTheme="minorHAnsi"/>
          <w:sz w:val="22"/>
          <w:szCs w:val="22"/>
        </w:rPr>
        <w:t>D</w:t>
      </w:r>
      <w:r w:rsidRPr="00F9586F">
        <w:rPr>
          <w:rFonts w:asciiTheme="minorHAnsi" w:hAnsiTheme="minorHAnsi"/>
          <w:sz w:val="22"/>
          <w:szCs w:val="22"/>
        </w:rPr>
        <w:t>egree-length borrowing for poorer students in Scotland</w:t>
      </w:r>
      <w:r w:rsidR="006C1227">
        <w:rPr>
          <w:rFonts w:asciiTheme="minorHAnsi" w:hAnsiTheme="minorHAnsi"/>
          <w:sz w:val="22"/>
          <w:szCs w:val="22"/>
        </w:rPr>
        <w:t xml:space="preserve"> is now</w:t>
      </w:r>
      <w:r w:rsidRPr="00F9586F">
        <w:rPr>
          <w:rFonts w:asciiTheme="minorHAnsi" w:hAnsiTheme="minorHAnsi"/>
          <w:sz w:val="22"/>
          <w:szCs w:val="22"/>
        </w:rPr>
        <w:t xml:space="preserve"> comparable with that in the </w:t>
      </w:r>
      <w:r w:rsidR="006C1227">
        <w:rPr>
          <w:rFonts w:asciiTheme="minorHAnsi" w:hAnsiTheme="minorHAnsi"/>
          <w:sz w:val="22"/>
          <w:szCs w:val="22"/>
        </w:rPr>
        <w:t>other devolved administrations</w:t>
      </w:r>
      <w:r w:rsidRPr="00F9586F">
        <w:rPr>
          <w:rFonts w:asciiTheme="minorHAnsi" w:hAnsiTheme="minorHAnsi"/>
          <w:sz w:val="22"/>
          <w:szCs w:val="22"/>
        </w:rPr>
        <w:t xml:space="preserve"> and not, as the SLC figures are often wrongly used to imply, significantly lower.</w:t>
      </w:r>
    </w:p>
    <w:sectPr w:rsidR="00F9586F" w:rsidRPr="00F9586F">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BC3" w:rsidRDefault="00CD6BC3" w:rsidP="00505A77">
      <w:pPr>
        <w:spacing w:after="0" w:line="240" w:lineRule="auto"/>
      </w:pPr>
      <w:r>
        <w:separator/>
      </w:r>
    </w:p>
  </w:endnote>
  <w:endnote w:type="continuationSeparator" w:id="0">
    <w:p w:rsidR="00CD6BC3" w:rsidRDefault="00CD6BC3" w:rsidP="00505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526680"/>
      <w:docPartObj>
        <w:docPartGallery w:val="Page Numbers (Bottom of Page)"/>
        <w:docPartUnique/>
      </w:docPartObj>
    </w:sdtPr>
    <w:sdtEndPr>
      <w:rPr>
        <w:noProof/>
      </w:rPr>
    </w:sdtEndPr>
    <w:sdtContent>
      <w:p w:rsidR="00FD30F2" w:rsidRDefault="00FD30F2">
        <w:pPr>
          <w:pStyle w:val="Footer"/>
          <w:jc w:val="center"/>
        </w:pPr>
        <w:r>
          <w:fldChar w:fldCharType="begin"/>
        </w:r>
        <w:r>
          <w:instrText xml:space="preserve"> PAGE   \* MERGEFORMAT </w:instrText>
        </w:r>
        <w:r>
          <w:fldChar w:fldCharType="separate"/>
        </w:r>
        <w:r w:rsidR="00CD6BC3">
          <w:rPr>
            <w:noProof/>
          </w:rPr>
          <w:t>1</w:t>
        </w:r>
        <w:r>
          <w:rPr>
            <w:noProof/>
          </w:rPr>
          <w:fldChar w:fldCharType="end"/>
        </w:r>
      </w:p>
    </w:sdtContent>
  </w:sdt>
  <w:p w:rsidR="00FD30F2" w:rsidRDefault="00FD30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BC3" w:rsidRDefault="00CD6BC3" w:rsidP="00505A77">
      <w:pPr>
        <w:spacing w:after="0" w:line="240" w:lineRule="auto"/>
      </w:pPr>
      <w:r>
        <w:separator/>
      </w:r>
    </w:p>
  </w:footnote>
  <w:footnote w:type="continuationSeparator" w:id="0">
    <w:p w:rsidR="00CD6BC3" w:rsidRDefault="00CD6BC3" w:rsidP="00505A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C0618"/>
    <w:multiLevelType w:val="hybridMultilevel"/>
    <w:tmpl w:val="E2D0C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E3B7FAA"/>
    <w:multiLevelType w:val="multilevel"/>
    <w:tmpl w:val="DB90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F01D42"/>
    <w:multiLevelType w:val="multilevel"/>
    <w:tmpl w:val="27904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790E42"/>
    <w:multiLevelType w:val="hybridMultilevel"/>
    <w:tmpl w:val="7930B05A"/>
    <w:lvl w:ilvl="0" w:tplc="C5E8F52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0741D78"/>
    <w:multiLevelType w:val="hybridMultilevel"/>
    <w:tmpl w:val="7930B05A"/>
    <w:lvl w:ilvl="0" w:tplc="C5E8F52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B3F7D3F"/>
    <w:multiLevelType w:val="hybridMultilevel"/>
    <w:tmpl w:val="5BAC6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82D"/>
    <w:rsid w:val="00002ABE"/>
    <w:rsid w:val="00002C3B"/>
    <w:rsid w:val="000041D6"/>
    <w:rsid w:val="0000751F"/>
    <w:rsid w:val="0001297A"/>
    <w:rsid w:val="00012C14"/>
    <w:rsid w:val="00013606"/>
    <w:rsid w:val="00013AF5"/>
    <w:rsid w:val="00016056"/>
    <w:rsid w:val="00016470"/>
    <w:rsid w:val="00021FD0"/>
    <w:rsid w:val="00023F3C"/>
    <w:rsid w:val="00026130"/>
    <w:rsid w:val="000272E0"/>
    <w:rsid w:val="00027F0D"/>
    <w:rsid w:val="000305D4"/>
    <w:rsid w:val="00030E01"/>
    <w:rsid w:val="00032FC8"/>
    <w:rsid w:val="00033F19"/>
    <w:rsid w:val="00034E5A"/>
    <w:rsid w:val="00036099"/>
    <w:rsid w:val="00043219"/>
    <w:rsid w:val="0004702B"/>
    <w:rsid w:val="0005168F"/>
    <w:rsid w:val="00052E5C"/>
    <w:rsid w:val="000549B4"/>
    <w:rsid w:val="00055176"/>
    <w:rsid w:val="00056107"/>
    <w:rsid w:val="00060394"/>
    <w:rsid w:val="000612AC"/>
    <w:rsid w:val="00063A4E"/>
    <w:rsid w:val="00063F55"/>
    <w:rsid w:val="000642C6"/>
    <w:rsid w:val="000663CA"/>
    <w:rsid w:val="00066596"/>
    <w:rsid w:val="00066FE3"/>
    <w:rsid w:val="00067793"/>
    <w:rsid w:val="00070E08"/>
    <w:rsid w:val="000760BD"/>
    <w:rsid w:val="00082ABA"/>
    <w:rsid w:val="000853C2"/>
    <w:rsid w:val="00097967"/>
    <w:rsid w:val="000A0822"/>
    <w:rsid w:val="000A4CD6"/>
    <w:rsid w:val="000A6887"/>
    <w:rsid w:val="000A7B2B"/>
    <w:rsid w:val="000B54BC"/>
    <w:rsid w:val="000B646A"/>
    <w:rsid w:val="000C0CEC"/>
    <w:rsid w:val="000C1AF4"/>
    <w:rsid w:val="000C6CC6"/>
    <w:rsid w:val="000D03FD"/>
    <w:rsid w:val="000D6436"/>
    <w:rsid w:val="000E22E0"/>
    <w:rsid w:val="000F26AE"/>
    <w:rsid w:val="000F4086"/>
    <w:rsid w:val="000F525E"/>
    <w:rsid w:val="000F6E1B"/>
    <w:rsid w:val="00101196"/>
    <w:rsid w:val="001012ED"/>
    <w:rsid w:val="00101715"/>
    <w:rsid w:val="00102494"/>
    <w:rsid w:val="00102956"/>
    <w:rsid w:val="00102AFB"/>
    <w:rsid w:val="00104099"/>
    <w:rsid w:val="00104689"/>
    <w:rsid w:val="001054F3"/>
    <w:rsid w:val="0010713A"/>
    <w:rsid w:val="00112284"/>
    <w:rsid w:val="00112EBD"/>
    <w:rsid w:val="001135DC"/>
    <w:rsid w:val="0011458B"/>
    <w:rsid w:val="00114CF4"/>
    <w:rsid w:val="00115DF3"/>
    <w:rsid w:val="001160DB"/>
    <w:rsid w:val="00116EE7"/>
    <w:rsid w:val="0012033C"/>
    <w:rsid w:val="00120F99"/>
    <w:rsid w:val="001213FD"/>
    <w:rsid w:val="00121666"/>
    <w:rsid w:val="00121C0C"/>
    <w:rsid w:val="0012362D"/>
    <w:rsid w:val="00123F89"/>
    <w:rsid w:val="00124722"/>
    <w:rsid w:val="00131673"/>
    <w:rsid w:val="00131F81"/>
    <w:rsid w:val="001360E8"/>
    <w:rsid w:val="00137739"/>
    <w:rsid w:val="00137939"/>
    <w:rsid w:val="00137A00"/>
    <w:rsid w:val="00141682"/>
    <w:rsid w:val="00146984"/>
    <w:rsid w:val="001510CF"/>
    <w:rsid w:val="00151141"/>
    <w:rsid w:val="00151B89"/>
    <w:rsid w:val="00151FC8"/>
    <w:rsid w:val="001521A8"/>
    <w:rsid w:val="001523E1"/>
    <w:rsid w:val="00152713"/>
    <w:rsid w:val="00152F90"/>
    <w:rsid w:val="00155D93"/>
    <w:rsid w:val="00155E29"/>
    <w:rsid w:val="00155FAD"/>
    <w:rsid w:val="00163B94"/>
    <w:rsid w:val="0016512F"/>
    <w:rsid w:val="00170BA2"/>
    <w:rsid w:val="00170D30"/>
    <w:rsid w:val="0017546B"/>
    <w:rsid w:val="001770E4"/>
    <w:rsid w:val="00181A8D"/>
    <w:rsid w:val="001826AD"/>
    <w:rsid w:val="00184D53"/>
    <w:rsid w:val="00186AF8"/>
    <w:rsid w:val="001970D4"/>
    <w:rsid w:val="001A0B33"/>
    <w:rsid w:val="001A4D97"/>
    <w:rsid w:val="001A776B"/>
    <w:rsid w:val="001B20A1"/>
    <w:rsid w:val="001B4F3C"/>
    <w:rsid w:val="001B7EAB"/>
    <w:rsid w:val="001C02CA"/>
    <w:rsid w:val="001C1315"/>
    <w:rsid w:val="001C36E6"/>
    <w:rsid w:val="001C7212"/>
    <w:rsid w:val="001D0C6A"/>
    <w:rsid w:val="001D17E5"/>
    <w:rsid w:val="001D68DF"/>
    <w:rsid w:val="001D6BE1"/>
    <w:rsid w:val="001E13AE"/>
    <w:rsid w:val="001E1BD4"/>
    <w:rsid w:val="001E4C2F"/>
    <w:rsid w:val="001E6EF3"/>
    <w:rsid w:val="001E7F34"/>
    <w:rsid w:val="001E7FEC"/>
    <w:rsid w:val="001F1ED3"/>
    <w:rsid w:val="001F2C55"/>
    <w:rsid w:val="001F39C7"/>
    <w:rsid w:val="001F52C0"/>
    <w:rsid w:val="001F7DC9"/>
    <w:rsid w:val="00200266"/>
    <w:rsid w:val="0020171B"/>
    <w:rsid w:val="00202323"/>
    <w:rsid w:val="002039AE"/>
    <w:rsid w:val="00204343"/>
    <w:rsid w:val="00206DAF"/>
    <w:rsid w:val="002073E0"/>
    <w:rsid w:val="00213EAA"/>
    <w:rsid w:val="00222507"/>
    <w:rsid w:val="00223413"/>
    <w:rsid w:val="00223B1A"/>
    <w:rsid w:val="0022527E"/>
    <w:rsid w:val="002256CA"/>
    <w:rsid w:val="002269B8"/>
    <w:rsid w:val="002320DE"/>
    <w:rsid w:val="00234BBA"/>
    <w:rsid w:val="0023703A"/>
    <w:rsid w:val="00237726"/>
    <w:rsid w:val="002377C2"/>
    <w:rsid w:val="0024134B"/>
    <w:rsid w:val="002414AD"/>
    <w:rsid w:val="002423AF"/>
    <w:rsid w:val="00242D87"/>
    <w:rsid w:val="002461D2"/>
    <w:rsid w:val="002514F0"/>
    <w:rsid w:val="00253EB8"/>
    <w:rsid w:val="00254490"/>
    <w:rsid w:val="002629A9"/>
    <w:rsid w:val="00266481"/>
    <w:rsid w:val="00270456"/>
    <w:rsid w:val="002725DE"/>
    <w:rsid w:val="002759B2"/>
    <w:rsid w:val="002765B4"/>
    <w:rsid w:val="0028404D"/>
    <w:rsid w:val="002844BB"/>
    <w:rsid w:val="002870E1"/>
    <w:rsid w:val="00290C80"/>
    <w:rsid w:val="00292796"/>
    <w:rsid w:val="002927BA"/>
    <w:rsid w:val="00292DFF"/>
    <w:rsid w:val="00294772"/>
    <w:rsid w:val="00294ECD"/>
    <w:rsid w:val="00295817"/>
    <w:rsid w:val="00296D30"/>
    <w:rsid w:val="002A093D"/>
    <w:rsid w:val="002A0F3B"/>
    <w:rsid w:val="002A3A9B"/>
    <w:rsid w:val="002A4143"/>
    <w:rsid w:val="002A7632"/>
    <w:rsid w:val="002B15F8"/>
    <w:rsid w:val="002B3AA0"/>
    <w:rsid w:val="002B7E3E"/>
    <w:rsid w:val="002C19DF"/>
    <w:rsid w:val="002C1B31"/>
    <w:rsid w:val="002C2475"/>
    <w:rsid w:val="002C3C63"/>
    <w:rsid w:val="002C79EE"/>
    <w:rsid w:val="002D3DCF"/>
    <w:rsid w:val="002D3F94"/>
    <w:rsid w:val="002D4729"/>
    <w:rsid w:val="002D4CA6"/>
    <w:rsid w:val="002D58D2"/>
    <w:rsid w:val="002D5C85"/>
    <w:rsid w:val="002E1DAE"/>
    <w:rsid w:val="002E1FDF"/>
    <w:rsid w:val="002E3072"/>
    <w:rsid w:val="002E4C01"/>
    <w:rsid w:val="002E59B5"/>
    <w:rsid w:val="002E5C76"/>
    <w:rsid w:val="002E63E7"/>
    <w:rsid w:val="002E66E2"/>
    <w:rsid w:val="002E7494"/>
    <w:rsid w:val="002F026C"/>
    <w:rsid w:val="002F2DCA"/>
    <w:rsid w:val="002F4B39"/>
    <w:rsid w:val="002F5846"/>
    <w:rsid w:val="0030063A"/>
    <w:rsid w:val="00304B24"/>
    <w:rsid w:val="00305486"/>
    <w:rsid w:val="00312CAF"/>
    <w:rsid w:val="00323626"/>
    <w:rsid w:val="003238FA"/>
    <w:rsid w:val="00324345"/>
    <w:rsid w:val="00325D10"/>
    <w:rsid w:val="003272D1"/>
    <w:rsid w:val="00333D87"/>
    <w:rsid w:val="00334A23"/>
    <w:rsid w:val="00335B5D"/>
    <w:rsid w:val="00335CE5"/>
    <w:rsid w:val="00336DED"/>
    <w:rsid w:val="003374DC"/>
    <w:rsid w:val="003402F4"/>
    <w:rsid w:val="0034286F"/>
    <w:rsid w:val="00347A58"/>
    <w:rsid w:val="003542DC"/>
    <w:rsid w:val="00355165"/>
    <w:rsid w:val="00357773"/>
    <w:rsid w:val="0036355F"/>
    <w:rsid w:val="00367366"/>
    <w:rsid w:val="0036751E"/>
    <w:rsid w:val="00367E18"/>
    <w:rsid w:val="00370F29"/>
    <w:rsid w:val="00371358"/>
    <w:rsid w:val="003716E9"/>
    <w:rsid w:val="003731D5"/>
    <w:rsid w:val="00380AEC"/>
    <w:rsid w:val="00381135"/>
    <w:rsid w:val="00381340"/>
    <w:rsid w:val="00383512"/>
    <w:rsid w:val="00387168"/>
    <w:rsid w:val="00387D77"/>
    <w:rsid w:val="0039102F"/>
    <w:rsid w:val="003912AB"/>
    <w:rsid w:val="003949E0"/>
    <w:rsid w:val="00394E0F"/>
    <w:rsid w:val="00397021"/>
    <w:rsid w:val="00397F90"/>
    <w:rsid w:val="00397FF8"/>
    <w:rsid w:val="003A0305"/>
    <w:rsid w:val="003A62D6"/>
    <w:rsid w:val="003A6F42"/>
    <w:rsid w:val="003B30F2"/>
    <w:rsid w:val="003B5660"/>
    <w:rsid w:val="003B58C2"/>
    <w:rsid w:val="003C0531"/>
    <w:rsid w:val="003C0C5C"/>
    <w:rsid w:val="003C4BFA"/>
    <w:rsid w:val="003C4CC1"/>
    <w:rsid w:val="003D7305"/>
    <w:rsid w:val="003D7C67"/>
    <w:rsid w:val="003E302A"/>
    <w:rsid w:val="003E4B5A"/>
    <w:rsid w:val="003E73EC"/>
    <w:rsid w:val="003E74E8"/>
    <w:rsid w:val="003F0163"/>
    <w:rsid w:val="003F0FFC"/>
    <w:rsid w:val="003F4FC0"/>
    <w:rsid w:val="004001DC"/>
    <w:rsid w:val="00400C40"/>
    <w:rsid w:val="00401243"/>
    <w:rsid w:val="004020D5"/>
    <w:rsid w:val="00404670"/>
    <w:rsid w:val="00405845"/>
    <w:rsid w:val="00405AC0"/>
    <w:rsid w:val="00405E52"/>
    <w:rsid w:val="00406BC2"/>
    <w:rsid w:val="00410267"/>
    <w:rsid w:val="0041061B"/>
    <w:rsid w:val="00412A0E"/>
    <w:rsid w:val="00412DC6"/>
    <w:rsid w:val="00415E0A"/>
    <w:rsid w:val="004168A0"/>
    <w:rsid w:val="00416EC9"/>
    <w:rsid w:val="00417A20"/>
    <w:rsid w:val="00420447"/>
    <w:rsid w:val="00420C91"/>
    <w:rsid w:val="004239C1"/>
    <w:rsid w:val="0042422B"/>
    <w:rsid w:val="00425E47"/>
    <w:rsid w:val="004346B7"/>
    <w:rsid w:val="0043517F"/>
    <w:rsid w:val="00436332"/>
    <w:rsid w:val="00436A2B"/>
    <w:rsid w:val="00436C97"/>
    <w:rsid w:val="004374CB"/>
    <w:rsid w:val="00441D7E"/>
    <w:rsid w:val="00444C26"/>
    <w:rsid w:val="004450F3"/>
    <w:rsid w:val="00445D32"/>
    <w:rsid w:val="0044625A"/>
    <w:rsid w:val="00452C19"/>
    <w:rsid w:val="00453800"/>
    <w:rsid w:val="00454889"/>
    <w:rsid w:val="00461477"/>
    <w:rsid w:val="004644E5"/>
    <w:rsid w:val="00465E64"/>
    <w:rsid w:val="00466F94"/>
    <w:rsid w:val="00467A88"/>
    <w:rsid w:val="00471F8E"/>
    <w:rsid w:val="00474428"/>
    <w:rsid w:val="00475D3D"/>
    <w:rsid w:val="0047680A"/>
    <w:rsid w:val="00483A2A"/>
    <w:rsid w:val="0048476C"/>
    <w:rsid w:val="00491AD2"/>
    <w:rsid w:val="00492C00"/>
    <w:rsid w:val="004955A9"/>
    <w:rsid w:val="004A0096"/>
    <w:rsid w:val="004A3011"/>
    <w:rsid w:val="004B079C"/>
    <w:rsid w:val="004B4F7D"/>
    <w:rsid w:val="004B52DC"/>
    <w:rsid w:val="004C1AE5"/>
    <w:rsid w:val="004C2756"/>
    <w:rsid w:val="004C43BC"/>
    <w:rsid w:val="004C578B"/>
    <w:rsid w:val="004C69EC"/>
    <w:rsid w:val="004D0422"/>
    <w:rsid w:val="004D2732"/>
    <w:rsid w:val="004D3419"/>
    <w:rsid w:val="004D500F"/>
    <w:rsid w:val="004D6052"/>
    <w:rsid w:val="004E249F"/>
    <w:rsid w:val="004E4E87"/>
    <w:rsid w:val="004E7064"/>
    <w:rsid w:val="004F06E7"/>
    <w:rsid w:val="004F11E3"/>
    <w:rsid w:val="004F14D4"/>
    <w:rsid w:val="004F26B1"/>
    <w:rsid w:val="004F65A6"/>
    <w:rsid w:val="004F670A"/>
    <w:rsid w:val="004F6972"/>
    <w:rsid w:val="00500E85"/>
    <w:rsid w:val="005010DD"/>
    <w:rsid w:val="00505A77"/>
    <w:rsid w:val="00506213"/>
    <w:rsid w:val="00506311"/>
    <w:rsid w:val="0050758E"/>
    <w:rsid w:val="0051171D"/>
    <w:rsid w:val="005117D3"/>
    <w:rsid w:val="00512142"/>
    <w:rsid w:val="00513A5A"/>
    <w:rsid w:val="00514D36"/>
    <w:rsid w:val="0051691A"/>
    <w:rsid w:val="00525277"/>
    <w:rsid w:val="005265A7"/>
    <w:rsid w:val="00526818"/>
    <w:rsid w:val="005302B1"/>
    <w:rsid w:val="00530691"/>
    <w:rsid w:val="00531547"/>
    <w:rsid w:val="00533530"/>
    <w:rsid w:val="005367BE"/>
    <w:rsid w:val="00536CBF"/>
    <w:rsid w:val="005379DC"/>
    <w:rsid w:val="00541B59"/>
    <w:rsid w:val="00542E9A"/>
    <w:rsid w:val="00543C49"/>
    <w:rsid w:val="00543D91"/>
    <w:rsid w:val="00551FE3"/>
    <w:rsid w:val="00554210"/>
    <w:rsid w:val="00555DE8"/>
    <w:rsid w:val="005576B9"/>
    <w:rsid w:val="00560A21"/>
    <w:rsid w:val="00561574"/>
    <w:rsid w:val="00562FB9"/>
    <w:rsid w:val="0056535C"/>
    <w:rsid w:val="00566061"/>
    <w:rsid w:val="005710ED"/>
    <w:rsid w:val="00571AF5"/>
    <w:rsid w:val="00572719"/>
    <w:rsid w:val="00581568"/>
    <w:rsid w:val="00582FF4"/>
    <w:rsid w:val="0058451B"/>
    <w:rsid w:val="00584577"/>
    <w:rsid w:val="00584AD8"/>
    <w:rsid w:val="0058655D"/>
    <w:rsid w:val="00586E1C"/>
    <w:rsid w:val="005912C7"/>
    <w:rsid w:val="00594AFA"/>
    <w:rsid w:val="00595CA3"/>
    <w:rsid w:val="0059615F"/>
    <w:rsid w:val="005A020C"/>
    <w:rsid w:val="005A1E13"/>
    <w:rsid w:val="005A2B37"/>
    <w:rsid w:val="005A326F"/>
    <w:rsid w:val="005A3472"/>
    <w:rsid w:val="005A5376"/>
    <w:rsid w:val="005A5740"/>
    <w:rsid w:val="005A785F"/>
    <w:rsid w:val="005B0383"/>
    <w:rsid w:val="005B03C8"/>
    <w:rsid w:val="005B045E"/>
    <w:rsid w:val="005B33B8"/>
    <w:rsid w:val="005B34E3"/>
    <w:rsid w:val="005B489B"/>
    <w:rsid w:val="005B4E46"/>
    <w:rsid w:val="005B71A4"/>
    <w:rsid w:val="005B7AAE"/>
    <w:rsid w:val="005C089F"/>
    <w:rsid w:val="005C29B9"/>
    <w:rsid w:val="005C2B8C"/>
    <w:rsid w:val="005C4928"/>
    <w:rsid w:val="005C57B2"/>
    <w:rsid w:val="005D2A8F"/>
    <w:rsid w:val="005D392A"/>
    <w:rsid w:val="005D43CC"/>
    <w:rsid w:val="005D5D96"/>
    <w:rsid w:val="005D6FF4"/>
    <w:rsid w:val="005E07CF"/>
    <w:rsid w:val="005E21F5"/>
    <w:rsid w:val="005E2576"/>
    <w:rsid w:val="005E33E6"/>
    <w:rsid w:val="005E430A"/>
    <w:rsid w:val="005F0031"/>
    <w:rsid w:val="005F5E83"/>
    <w:rsid w:val="005F76F3"/>
    <w:rsid w:val="0060101E"/>
    <w:rsid w:val="006020B2"/>
    <w:rsid w:val="00602BBF"/>
    <w:rsid w:val="006051D1"/>
    <w:rsid w:val="006071D8"/>
    <w:rsid w:val="006103E4"/>
    <w:rsid w:val="006107BC"/>
    <w:rsid w:val="00611563"/>
    <w:rsid w:val="006117A0"/>
    <w:rsid w:val="00611A04"/>
    <w:rsid w:val="00611D61"/>
    <w:rsid w:val="00612981"/>
    <w:rsid w:val="00616158"/>
    <w:rsid w:val="00616F96"/>
    <w:rsid w:val="0062167E"/>
    <w:rsid w:val="0062699C"/>
    <w:rsid w:val="006272B3"/>
    <w:rsid w:val="00630586"/>
    <w:rsid w:val="006323A5"/>
    <w:rsid w:val="0063308B"/>
    <w:rsid w:val="006351BB"/>
    <w:rsid w:val="00636877"/>
    <w:rsid w:val="00636AFE"/>
    <w:rsid w:val="0064389D"/>
    <w:rsid w:val="006438AC"/>
    <w:rsid w:val="00643AC8"/>
    <w:rsid w:val="00644C4B"/>
    <w:rsid w:val="00646E86"/>
    <w:rsid w:val="00647751"/>
    <w:rsid w:val="006532A9"/>
    <w:rsid w:val="00654212"/>
    <w:rsid w:val="00655E24"/>
    <w:rsid w:val="00656F88"/>
    <w:rsid w:val="006577EA"/>
    <w:rsid w:val="00663AA5"/>
    <w:rsid w:val="00667164"/>
    <w:rsid w:val="006706C2"/>
    <w:rsid w:val="00674E38"/>
    <w:rsid w:val="00674E5E"/>
    <w:rsid w:val="0067632C"/>
    <w:rsid w:val="0068083E"/>
    <w:rsid w:val="00681CDE"/>
    <w:rsid w:val="00685B7C"/>
    <w:rsid w:val="006872B6"/>
    <w:rsid w:val="006922DA"/>
    <w:rsid w:val="00692C3B"/>
    <w:rsid w:val="00695127"/>
    <w:rsid w:val="006A1565"/>
    <w:rsid w:val="006A38D8"/>
    <w:rsid w:val="006A477C"/>
    <w:rsid w:val="006A569B"/>
    <w:rsid w:val="006A5CC2"/>
    <w:rsid w:val="006B2569"/>
    <w:rsid w:val="006B3E4A"/>
    <w:rsid w:val="006B4011"/>
    <w:rsid w:val="006C1227"/>
    <w:rsid w:val="006C47A0"/>
    <w:rsid w:val="006C714A"/>
    <w:rsid w:val="006D1FAA"/>
    <w:rsid w:val="006D277E"/>
    <w:rsid w:val="006D4993"/>
    <w:rsid w:val="006D4FE5"/>
    <w:rsid w:val="006D5622"/>
    <w:rsid w:val="006E11E5"/>
    <w:rsid w:val="006E1612"/>
    <w:rsid w:val="006E3178"/>
    <w:rsid w:val="006E4B96"/>
    <w:rsid w:val="006E4C9C"/>
    <w:rsid w:val="006F34C3"/>
    <w:rsid w:val="006F3527"/>
    <w:rsid w:val="007038B0"/>
    <w:rsid w:val="00704F09"/>
    <w:rsid w:val="00706F5E"/>
    <w:rsid w:val="007077E2"/>
    <w:rsid w:val="00707BF2"/>
    <w:rsid w:val="00710D71"/>
    <w:rsid w:val="00715920"/>
    <w:rsid w:val="00716A1B"/>
    <w:rsid w:val="00717356"/>
    <w:rsid w:val="00717618"/>
    <w:rsid w:val="00717D2A"/>
    <w:rsid w:val="00722555"/>
    <w:rsid w:val="00722B2C"/>
    <w:rsid w:val="00723894"/>
    <w:rsid w:val="00725BDA"/>
    <w:rsid w:val="00726C19"/>
    <w:rsid w:val="007317EE"/>
    <w:rsid w:val="0073521D"/>
    <w:rsid w:val="0074350C"/>
    <w:rsid w:val="007436A7"/>
    <w:rsid w:val="00743990"/>
    <w:rsid w:val="00743F13"/>
    <w:rsid w:val="007476FE"/>
    <w:rsid w:val="00750F2E"/>
    <w:rsid w:val="007530CA"/>
    <w:rsid w:val="0075413C"/>
    <w:rsid w:val="00756CE4"/>
    <w:rsid w:val="00764723"/>
    <w:rsid w:val="00764FFA"/>
    <w:rsid w:val="00765438"/>
    <w:rsid w:val="007661C9"/>
    <w:rsid w:val="0076724A"/>
    <w:rsid w:val="00773627"/>
    <w:rsid w:val="007737F1"/>
    <w:rsid w:val="00782C3C"/>
    <w:rsid w:val="00782CA7"/>
    <w:rsid w:val="007846B0"/>
    <w:rsid w:val="00785201"/>
    <w:rsid w:val="00790AE2"/>
    <w:rsid w:val="00793ED4"/>
    <w:rsid w:val="0079428F"/>
    <w:rsid w:val="007943E6"/>
    <w:rsid w:val="007A0240"/>
    <w:rsid w:val="007A0DD2"/>
    <w:rsid w:val="007A13BA"/>
    <w:rsid w:val="007A34A8"/>
    <w:rsid w:val="007A42ED"/>
    <w:rsid w:val="007A46E0"/>
    <w:rsid w:val="007A4C1A"/>
    <w:rsid w:val="007A5190"/>
    <w:rsid w:val="007A5A8D"/>
    <w:rsid w:val="007A612D"/>
    <w:rsid w:val="007A66E3"/>
    <w:rsid w:val="007A766F"/>
    <w:rsid w:val="007B1A19"/>
    <w:rsid w:val="007B1DBD"/>
    <w:rsid w:val="007B51F4"/>
    <w:rsid w:val="007B57E1"/>
    <w:rsid w:val="007C000B"/>
    <w:rsid w:val="007C0BE8"/>
    <w:rsid w:val="007C5F50"/>
    <w:rsid w:val="007C6C75"/>
    <w:rsid w:val="007D158D"/>
    <w:rsid w:val="007D2661"/>
    <w:rsid w:val="007D2AE3"/>
    <w:rsid w:val="007D318B"/>
    <w:rsid w:val="007D5837"/>
    <w:rsid w:val="007D6B88"/>
    <w:rsid w:val="007D6C7B"/>
    <w:rsid w:val="007D72F9"/>
    <w:rsid w:val="007E0558"/>
    <w:rsid w:val="007E4209"/>
    <w:rsid w:val="007E6630"/>
    <w:rsid w:val="007E74D0"/>
    <w:rsid w:val="007E77B8"/>
    <w:rsid w:val="007F148D"/>
    <w:rsid w:val="007F1AB0"/>
    <w:rsid w:val="007F1E90"/>
    <w:rsid w:val="007F3005"/>
    <w:rsid w:val="007F34E5"/>
    <w:rsid w:val="007F626F"/>
    <w:rsid w:val="00800CCC"/>
    <w:rsid w:val="00802E04"/>
    <w:rsid w:val="0080586B"/>
    <w:rsid w:val="00806256"/>
    <w:rsid w:val="0081452A"/>
    <w:rsid w:val="00814E8C"/>
    <w:rsid w:val="00816B2F"/>
    <w:rsid w:val="00816EC2"/>
    <w:rsid w:val="00817C8D"/>
    <w:rsid w:val="008218EC"/>
    <w:rsid w:val="008239D7"/>
    <w:rsid w:val="00825236"/>
    <w:rsid w:val="00830E48"/>
    <w:rsid w:val="008344DC"/>
    <w:rsid w:val="00835E92"/>
    <w:rsid w:val="00836A87"/>
    <w:rsid w:val="0083717A"/>
    <w:rsid w:val="008376EE"/>
    <w:rsid w:val="00837A45"/>
    <w:rsid w:val="00842600"/>
    <w:rsid w:val="00842E25"/>
    <w:rsid w:val="008443EC"/>
    <w:rsid w:val="0084537F"/>
    <w:rsid w:val="00846E81"/>
    <w:rsid w:val="00850307"/>
    <w:rsid w:val="008520E2"/>
    <w:rsid w:val="00853598"/>
    <w:rsid w:val="00853810"/>
    <w:rsid w:val="0085385F"/>
    <w:rsid w:val="008572EC"/>
    <w:rsid w:val="008609BA"/>
    <w:rsid w:val="00861003"/>
    <w:rsid w:val="008616A7"/>
    <w:rsid w:val="008619DA"/>
    <w:rsid w:val="00862695"/>
    <w:rsid w:val="00865776"/>
    <w:rsid w:val="008659AF"/>
    <w:rsid w:val="00866415"/>
    <w:rsid w:val="00866DFF"/>
    <w:rsid w:val="00874808"/>
    <w:rsid w:val="00874D55"/>
    <w:rsid w:val="00876320"/>
    <w:rsid w:val="008768F1"/>
    <w:rsid w:val="008816C1"/>
    <w:rsid w:val="00881DFD"/>
    <w:rsid w:val="0088201E"/>
    <w:rsid w:val="0088502F"/>
    <w:rsid w:val="008927A8"/>
    <w:rsid w:val="0089366C"/>
    <w:rsid w:val="00893A75"/>
    <w:rsid w:val="00894024"/>
    <w:rsid w:val="00895741"/>
    <w:rsid w:val="00897A3D"/>
    <w:rsid w:val="008A0B42"/>
    <w:rsid w:val="008A256D"/>
    <w:rsid w:val="008A41E7"/>
    <w:rsid w:val="008A45BA"/>
    <w:rsid w:val="008A493D"/>
    <w:rsid w:val="008A4D90"/>
    <w:rsid w:val="008A5544"/>
    <w:rsid w:val="008A7FF1"/>
    <w:rsid w:val="008B277D"/>
    <w:rsid w:val="008B2FF8"/>
    <w:rsid w:val="008B3AB9"/>
    <w:rsid w:val="008C09FD"/>
    <w:rsid w:val="008C12D7"/>
    <w:rsid w:val="008C5153"/>
    <w:rsid w:val="008C58B1"/>
    <w:rsid w:val="008D3221"/>
    <w:rsid w:val="008D4CA0"/>
    <w:rsid w:val="008D5D3A"/>
    <w:rsid w:val="008D66B1"/>
    <w:rsid w:val="008E0CE7"/>
    <w:rsid w:val="008E15A2"/>
    <w:rsid w:val="008E4FE5"/>
    <w:rsid w:val="008E513C"/>
    <w:rsid w:val="008E6C95"/>
    <w:rsid w:val="008F1AE5"/>
    <w:rsid w:val="008F2B51"/>
    <w:rsid w:val="008F327B"/>
    <w:rsid w:val="009008D7"/>
    <w:rsid w:val="00900ACB"/>
    <w:rsid w:val="00900D13"/>
    <w:rsid w:val="00903704"/>
    <w:rsid w:val="00903BA1"/>
    <w:rsid w:val="00906E1C"/>
    <w:rsid w:val="00910524"/>
    <w:rsid w:val="009106D0"/>
    <w:rsid w:val="00911142"/>
    <w:rsid w:val="00911A9A"/>
    <w:rsid w:val="0091571F"/>
    <w:rsid w:val="00915DA0"/>
    <w:rsid w:val="00916A90"/>
    <w:rsid w:val="00921057"/>
    <w:rsid w:val="00923E01"/>
    <w:rsid w:val="009240FD"/>
    <w:rsid w:val="009241D5"/>
    <w:rsid w:val="00926238"/>
    <w:rsid w:val="00927923"/>
    <w:rsid w:val="00931314"/>
    <w:rsid w:val="0093729B"/>
    <w:rsid w:val="009377CD"/>
    <w:rsid w:val="00940D5C"/>
    <w:rsid w:val="00942B9A"/>
    <w:rsid w:val="0095231E"/>
    <w:rsid w:val="00952437"/>
    <w:rsid w:val="009543CC"/>
    <w:rsid w:val="00955069"/>
    <w:rsid w:val="00957935"/>
    <w:rsid w:val="00960864"/>
    <w:rsid w:val="00961A26"/>
    <w:rsid w:val="00962733"/>
    <w:rsid w:val="0097065F"/>
    <w:rsid w:val="00971608"/>
    <w:rsid w:val="009729DE"/>
    <w:rsid w:val="009735D7"/>
    <w:rsid w:val="009735E5"/>
    <w:rsid w:val="00973D0A"/>
    <w:rsid w:val="00974D35"/>
    <w:rsid w:val="00975358"/>
    <w:rsid w:val="00977AB5"/>
    <w:rsid w:val="00984515"/>
    <w:rsid w:val="009858D3"/>
    <w:rsid w:val="00986AAE"/>
    <w:rsid w:val="00987CE4"/>
    <w:rsid w:val="0099043C"/>
    <w:rsid w:val="0099105A"/>
    <w:rsid w:val="00991BBF"/>
    <w:rsid w:val="009920D7"/>
    <w:rsid w:val="009939F5"/>
    <w:rsid w:val="00996D12"/>
    <w:rsid w:val="00996EC4"/>
    <w:rsid w:val="00997890"/>
    <w:rsid w:val="009978DD"/>
    <w:rsid w:val="009A3B3E"/>
    <w:rsid w:val="009A4B1B"/>
    <w:rsid w:val="009A51E4"/>
    <w:rsid w:val="009A58E7"/>
    <w:rsid w:val="009A601B"/>
    <w:rsid w:val="009A771C"/>
    <w:rsid w:val="009A7F0C"/>
    <w:rsid w:val="009B0938"/>
    <w:rsid w:val="009B0E10"/>
    <w:rsid w:val="009B1CD8"/>
    <w:rsid w:val="009B6995"/>
    <w:rsid w:val="009B753B"/>
    <w:rsid w:val="009C0E3B"/>
    <w:rsid w:val="009C119F"/>
    <w:rsid w:val="009C1648"/>
    <w:rsid w:val="009C3C0D"/>
    <w:rsid w:val="009C40A3"/>
    <w:rsid w:val="009C58A0"/>
    <w:rsid w:val="009C636B"/>
    <w:rsid w:val="009D08C7"/>
    <w:rsid w:val="009D13B5"/>
    <w:rsid w:val="009D1A96"/>
    <w:rsid w:val="009D1D35"/>
    <w:rsid w:val="009D3404"/>
    <w:rsid w:val="009D350A"/>
    <w:rsid w:val="009E14F9"/>
    <w:rsid w:val="009E2E2A"/>
    <w:rsid w:val="009E3BE1"/>
    <w:rsid w:val="009E5B7E"/>
    <w:rsid w:val="009E64D8"/>
    <w:rsid w:val="009E7912"/>
    <w:rsid w:val="009F028E"/>
    <w:rsid w:val="009F0801"/>
    <w:rsid w:val="009F1133"/>
    <w:rsid w:val="009F4E6F"/>
    <w:rsid w:val="009F5FBD"/>
    <w:rsid w:val="009F764C"/>
    <w:rsid w:val="00A00B30"/>
    <w:rsid w:val="00A02C18"/>
    <w:rsid w:val="00A02D0E"/>
    <w:rsid w:val="00A04362"/>
    <w:rsid w:val="00A044B4"/>
    <w:rsid w:val="00A1005E"/>
    <w:rsid w:val="00A10554"/>
    <w:rsid w:val="00A118FC"/>
    <w:rsid w:val="00A11CD4"/>
    <w:rsid w:val="00A12B9E"/>
    <w:rsid w:val="00A13A80"/>
    <w:rsid w:val="00A13FEA"/>
    <w:rsid w:val="00A14EF3"/>
    <w:rsid w:val="00A20333"/>
    <w:rsid w:val="00A23296"/>
    <w:rsid w:val="00A234F0"/>
    <w:rsid w:val="00A309E0"/>
    <w:rsid w:val="00A311CA"/>
    <w:rsid w:val="00A33A64"/>
    <w:rsid w:val="00A35BAC"/>
    <w:rsid w:val="00A36229"/>
    <w:rsid w:val="00A43311"/>
    <w:rsid w:val="00A43C09"/>
    <w:rsid w:val="00A44380"/>
    <w:rsid w:val="00A52FC0"/>
    <w:rsid w:val="00A54D5E"/>
    <w:rsid w:val="00A600B5"/>
    <w:rsid w:val="00A63321"/>
    <w:rsid w:val="00A64008"/>
    <w:rsid w:val="00A640A9"/>
    <w:rsid w:val="00A65328"/>
    <w:rsid w:val="00A67AF7"/>
    <w:rsid w:val="00A7217C"/>
    <w:rsid w:val="00A803DE"/>
    <w:rsid w:val="00A83542"/>
    <w:rsid w:val="00A87584"/>
    <w:rsid w:val="00A875DB"/>
    <w:rsid w:val="00A950B1"/>
    <w:rsid w:val="00AA1E7E"/>
    <w:rsid w:val="00AA21BB"/>
    <w:rsid w:val="00AA419B"/>
    <w:rsid w:val="00AA6A81"/>
    <w:rsid w:val="00AB01C7"/>
    <w:rsid w:val="00AB113E"/>
    <w:rsid w:val="00AB1B44"/>
    <w:rsid w:val="00AB47AA"/>
    <w:rsid w:val="00AB5E4D"/>
    <w:rsid w:val="00AB77F0"/>
    <w:rsid w:val="00AC0B80"/>
    <w:rsid w:val="00AC0E5A"/>
    <w:rsid w:val="00AC20C8"/>
    <w:rsid w:val="00AC25B7"/>
    <w:rsid w:val="00AC3132"/>
    <w:rsid w:val="00AC5B06"/>
    <w:rsid w:val="00AD1416"/>
    <w:rsid w:val="00AD14A9"/>
    <w:rsid w:val="00AD3677"/>
    <w:rsid w:val="00AD3947"/>
    <w:rsid w:val="00AD3A70"/>
    <w:rsid w:val="00AD7803"/>
    <w:rsid w:val="00AE536C"/>
    <w:rsid w:val="00AE57ED"/>
    <w:rsid w:val="00AF03E7"/>
    <w:rsid w:val="00AF317E"/>
    <w:rsid w:val="00AF3F1F"/>
    <w:rsid w:val="00AF6B98"/>
    <w:rsid w:val="00B02834"/>
    <w:rsid w:val="00B05BE2"/>
    <w:rsid w:val="00B06343"/>
    <w:rsid w:val="00B10A79"/>
    <w:rsid w:val="00B13A55"/>
    <w:rsid w:val="00B13A98"/>
    <w:rsid w:val="00B13AB1"/>
    <w:rsid w:val="00B20A5A"/>
    <w:rsid w:val="00B21077"/>
    <w:rsid w:val="00B21AF7"/>
    <w:rsid w:val="00B23389"/>
    <w:rsid w:val="00B238BC"/>
    <w:rsid w:val="00B24CA1"/>
    <w:rsid w:val="00B255AF"/>
    <w:rsid w:val="00B25610"/>
    <w:rsid w:val="00B27EB9"/>
    <w:rsid w:val="00B321E4"/>
    <w:rsid w:val="00B32272"/>
    <w:rsid w:val="00B3338A"/>
    <w:rsid w:val="00B36000"/>
    <w:rsid w:val="00B37644"/>
    <w:rsid w:val="00B4054C"/>
    <w:rsid w:val="00B41994"/>
    <w:rsid w:val="00B42F9A"/>
    <w:rsid w:val="00B43998"/>
    <w:rsid w:val="00B4538F"/>
    <w:rsid w:val="00B50562"/>
    <w:rsid w:val="00B51B11"/>
    <w:rsid w:val="00B52638"/>
    <w:rsid w:val="00B554F1"/>
    <w:rsid w:val="00B56AC7"/>
    <w:rsid w:val="00B56AD5"/>
    <w:rsid w:val="00B578F8"/>
    <w:rsid w:val="00B57C33"/>
    <w:rsid w:val="00B60708"/>
    <w:rsid w:val="00B60C90"/>
    <w:rsid w:val="00B63A67"/>
    <w:rsid w:val="00B63CDE"/>
    <w:rsid w:val="00B70355"/>
    <w:rsid w:val="00B720AA"/>
    <w:rsid w:val="00B8015F"/>
    <w:rsid w:val="00B803AE"/>
    <w:rsid w:val="00B8286D"/>
    <w:rsid w:val="00B858F6"/>
    <w:rsid w:val="00B85E15"/>
    <w:rsid w:val="00B9003C"/>
    <w:rsid w:val="00B910AE"/>
    <w:rsid w:val="00B910D5"/>
    <w:rsid w:val="00B93C0D"/>
    <w:rsid w:val="00B94727"/>
    <w:rsid w:val="00B94EC2"/>
    <w:rsid w:val="00B964C3"/>
    <w:rsid w:val="00B975DD"/>
    <w:rsid w:val="00BA066B"/>
    <w:rsid w:val="00BA3572"/>
    <w:rsid w:val="00BA7447"/>
    <w:rsid w:val="00BA7B15"/>
    <w:rsid w:val="00BB38BD"/>
    <w:rsid w:val="00BB4162"/>
    <w:rsid w:val="00BB55A4"/>
    <w:rsid w:val="00BB575E"/>
    <w:rsid w:val="00BB6CB6"/>
    <w:rsid w:val="00BB75E5"/>
    <w:rsid w:val="00BB7B1E"/>
    <w:rsid w:val="00BC01A2"/>
    <w:rsid w:val="00BC0B9C"/>
    <w:rsid w:val="00BC1BDF"/>
    <w:rsid w:val="00BC3037"/>
    <w:rsid w:val="00BC32CC"/>
    <w:rsid w:val="00BC48E1"/>
    <w:rsid w:val="00BC583C"/>
    <w:rsid w:val="00BE2464"/>
    <w:rsid w:val="00BE39AC"/>
    <w:rsid w:val="00BE3AA1"/>
    <w:rsid w:val="00BE4853"/>
    <w:rsid w:val="00BE5196"/>
    <w:rsid w:val="00BF094E"/>
    <w:rsid w:val="00BF3DD2"/>
    <w:rsid w:val="00BF4C59"/>
    <w:rsid w:val="00BF61FA"/>
    <w:rsid w:val="00BF6F30"/>
    <w:rsid w:val="00C02037"/>
    <w:rsid w:val="00C03D37"/>
    <w:rsid w:val="00C03FBD"/>
    <w:rsid w:val="00C04E19"/>
    <w:rsid w:val="00C05D6C"/>
    <w:rsid w:val="00C06849"/>
    <w:rsid w:val="00C073C0"/>
    <w:rsid w:val="00C07ABE"/>
    <w:rsid w:val="00C105E5"/>
    <w:rsid w:val="00C12254"/>
    <w:rsid w:val="00C13C49"/>
    <w:rsid w:val="00C15885"/>
    <w:rsid w:val="00C16A3D"/>
    <w:rsid w:val="00C21217"/>
    <w:rsid w:val="00C238AF"/>
    <w:rsid w:val="00C27163"/>
    <w:rsid w:val="00C31272"/>
    <w:rsid w:val="00C32E1D"/>
    <w:rsid w:val="00C368BD"/>
    <w:rsid w:val="00C37075"/>
    <w:rsid w:val="00C4154F"/>
    <w:rsid w:val="00C417B5"/>
    <w:rsid w:val="00C452DA"/>
    <w:rsid w:val="00C459C8"/>
    <w:rsid w:val="00C501B6"/>
    <w:rsid w:val="00C51DDA"/>
    <w:rsid w:val="00C524EC"/>
    <w:rsid w:val="00C53950"/>
    <w:rsid w:val="00C53C59"/>
    <w:rsid w:val="00C55B7E"/>
    <w:rsid w:val="00C5648B"/>
    <w:rsid w:val="00C71790"/>
    <w:rsid w:val="00C71CB6"/>
    <w:rsid w:val="00C73975"/>
    <w:rsid w:val="00C75995"/>
    <w:rsid w:val="00C775B2"/>
    <w:rsid w:val="00C864FE"/>
    <w:rsid w:val="00C87DC6"/>
    <w:rsid w:val="00C92B11"/>
    <w:rsid w:val="00C92EA4"/>
    <w:rsid w:val="00C956B2"/>
    <w:rsid w:val="00C96DF3"/>
    <w:rsid w:val="00CA0E15"/>
    <w:rsid w:val="00CA372E"/>
    <w:rsid w:val="00CA4E02"/>
    <w:rsid w:val="00CA7B6A"/>
    <w:rsid w:val="00CB1142"/>
    <w:rsid w:val="00CB2010"/>
    <w:rsid w:val="00CB6E5C"/>
    <w:rsid w:val="00CC0FAA"/>
    <w:rsid w:val="00CC7B84"/>
    <w:rsid w:val="00CD2768"/>
    <w:rsid w:val="00CD2D96"/>
    <w:rsid w:val="00CD5007"/>
    <w:rsid w:val="00CD6546"/>
    <w:rsid w:val="00CD6BC3"/>
    <w:rsid w:val="00CE2032"/>
    <w:rsid w:val="00CE233C"/>
    <w:rsid w:val="00CE357D"/>
    <w:rsid w:val="00CE4547"/>
    <w:rsid w:val="00CE5D37"/>
    <w:rsid w:val="00CF343A"/>
    <w:rsid w:val="00CF3894"/>
    <w:rsid w:val="00CF690C"/>
    <w:rsid w:val="00CF7921"/>
    <w:rsid w:val="00CF7A34"/>
    <w:rsid w:val="00D00B37"/>
    <w:rsid w:val="00D02C83"/>
    <w:rsid w:val="00D03B55"/>
    <w:rsid w:val="00D03E3F"/>
    <w:rsid w:val="00D069EC"/>
    <w:rsid w:val="00D07E14"/>
    <w:rsid w:val="00D12A23"/>
    <w:rsid w:val="00D20A8C"/>
    <w:rsid w:val="00D272B1"/>
    <w:rsid w:val="00D30320"/>
    <w:rsid w:val="00D3141F"/>
    <w:rsid w:val="00D33478"/>
    <w:rsid w:val="00D340F6"/>
    <w:rsid w:val="00D349B0"/>
    <w:rsid w:val="00D35548"/>
    <w:rsid w:val="00D3779F"/>
    <w:rsid w:val="00D40E2E"/>
    <w:rsid w:val="00D4112B"/>
    <w:rsid w:val="00D41702"/>
    <w:rsid w:val="00D4747B"/>
    <w:rsid w:val="00D51327"/>
    <w:rsid w:val="00D51F7B"/>
    <w:rsid w:val="00D53C44"/>
    <w:rsid w:val="00D60B7A"/>
    <w:rsid w:val="00D60BA4"/>
    <w:rsid w:val="00D60FFB"/>
    <w:rsid w:val="00D6126D"/>
    <w:rsid w:val="00D62A25"/>
    <w:rsid w:val="00D65858"/>
    <w:rsid w:val="00D67998"/>
    <w:rsid w:val="00D67F0F"/>
    <w:rsid w:val="00D70538"/>
    <w:rsid w:val="00D7144F"/>
    <w:rsid w:val="00D71BDE"/>
    <w:rsid w:val="00D74CA7"/>
    <w:rsid w:val="00D77BA3"/>
    <w:rsid w:val="00D77EC4"/>
    <w:rsid w:val="00D80AD0"/>
    <w:rsid w:val="00D8472A"/>
    <w:rsid w:val="00D84C36"/>
    <w:rsid w:val="00D87078"/>
    <w:rsid w:val="00D87660"/>
    <w:rsid w:val="00D90EAA"/>
    <w:rsid w:val="00D934CE"/>
    <w:rsid w:val="00D934DF"/>
    <w:rsid w:val="00D9387B"/>
    <w:rsid w:val="00D938CC"/>
    <w:rsid w:val="00D96856"/>
    <w:rsid w:val="00D96B6B"/>
    <w:rsid w:val="00D97BF1"/>
    <w:rsid w:val="00DA0405"/>
    <w:rsid w:val="00DA0E9C"/>
    <w:rsid w:val="00DA2AC2"/>
    <w:rsid w:val="00DA2DDD"/>
    <w:rsid w:val="00DA3843"/>
    <w:rsid w:val="00DA428E"/>
    <w:rsid w:val="00DA62A3"/>
    <w:rsid w:val="00DB2302"/>
    <w:rsid w:val="00DB2CCB"/>
    <w:rsid w:val="00DB5E39"/>
    <w:rsid w:val="00DB67A9"/>
    <w:rsid w:val="00DB737A"/>
    <w:rsid w:val="00DB7B97"/>
    <w:rsid w:val="00DC3C9C"/>
    <w:rsid w:val="00DC4E43"/>
    <w:rsid w:val="00DC58E8"/>
    <w:rsid w:val="00DC7E35"/>
    <w:rsid w:val="00DC7F9B"/>
    <w:rsid w:val="00DD0E29"/>
    <w:rsid w:val="00DD2772"/>
    <w:rsid w:val="00DE7286"/>
    <w:rsid w:val="00DF1B4F"/>
    <w:rsid w:val="00DF568C"/>
    <w:rsid w:val="00E0305D"/>
    <w:rsid w:val="00E03C99"/>
    <w:rsid w:val="00E063F7"/>
    <w:rsid w:val="00E066A8"/>
    <w:rsid w:val="00E0693E"/>
    <w:rsid w:val="00E07BED"/>
    <w:rsid w:val="00E1067E"/>
    <w:rsid w:val="00E11364"/>
    <w:rsid w:val="00E11568"/>
    <w:rsid w:val="00E136EF"/>
    <w:rsid w:val="00E20519"/>
    <w:rsid w:val="00E20B59"/>
    <w:rsid w:val="00E21DA3"/>
    <w:rsid w:val="00E240B7"/>
    <w:rsid w:val="00E24D23"/>
    <w:rsid w:val="00E26C2A"/>
    <w:rsid w:val="00E35531"/>
    <w:rsid w:val="00E371E5"/>
    <w:rsid w:val="00E438EA"/>
    <w:rsid w:val="00E4482D"/>
    <w:rsid w:val="00E50644"/>
    <w:rsid w:val="00E5092C"/>
    <w:rsid w:val="00E50AC7"/>
    <w:rsid w:val="00E527A9"/>
    <w:rsid w:val="00E52AF8"/>
    <w:rsid w:val="00E551E8"/>
    <w:rsid w:val="00E55ECB"/>
    <w:rsid w:val="00E62BC2"/>
    <w:rsid w:val="00E6468C"/>
    <w:rsid w:val="00E66984"/>
    <w:rsid w:val="00E707BE"/>
    <w:rsid w:val="00E7168F"/>
    <w:rsid w:val="00E72C60"/>
    <w:rsid w:val="00E745D6"/>
    <w:rsid w:val="00E76D1A"/>
    <w:rsid w:val="00E82A05"/>
    <w:rsid w:val="00E83093"/>
    <w:rsid w:val="00E83355"/>
    <w:rsid w:val="00E83AF9"/>
    <w:rsid w:val="00E84B55"/>
    <w:rsid w:val="00E86003"/>
    <w:rsid w:val="00E87F16"/>
    <w:rsid w:val="00E9008E"/>
    <w:rsid w:val="00E914E1"/>
    <w:rsid w:val="00E9523B"/>
    <w:rsid w:val="00E978AC"/>
    <w:rsid w:val="00EA0883"/>
    <w:rsid w:val="00EA6418"/>
    <w:rsid w:val="00EA6A5E"/>
    <w:rsid w:val="00EB01C2"/>
    <w:rsid w:val="00EB2E20"/>
    <w:rsid w:val="00EB3018"/>
    <w:rsid w:val="00EC1F50"/>
    <w:rsid w:val="00EC21B7"/>
    <w:rsid w:val="00EC23B0"/>
    <w:rsid w:val="00EC2E9E"/>
    <w:rsid w:val="00EC682F"/>
    <w:rsid w:val="00EC7AB5"/>
    <w:rsid w:val="00EC7E34"/>
    <w:rsid w:val="00ED04A0"/>
    <w:rsid w:val="00ED0C33"/>
    <w:rsid w:val="00ED2E5F"/>
    <w:rsid w:val="00ED413A"/>
    <w:rsid w:val="00ED56B3"/>
    <w:rsid w:val="00ED757A"/>
    <w:rsid w:val="00ED7696"/>
    <w:rsid w:val="00EE1272"/>
    <w:rsid w:val="00EE1532"/>
    <w:rsid w:val="00EE2215"/>
    <w:rsid w:val="00EE27B3"/>
    <w:rsid w:val="00EE27DC"/>
    <w:rsid w:val="00EF02C6"/>
    <w:rsid w:val="00EF1D49"/>
    <w:rsid w:val="00EF2534"/>
    <w:rsid w:val="00EF449D"/>
    <w:rsid w:val="00EF6258"/>
    <w:rsid w:val="00EF7930"/>
    <w:rsid w:val="00EF7B2E"/>
    <w:rsid w:val="00F00F45"/>
    <w:rsid w:val="00F014B8"/>
    <w:rsid w:val="00F02341"/>
    <w:rsid w:val="00F053A2"/>
    <w:rsid w:val="00F07118"/>
    <w:rsid w:val="00F0724D"/>
    <w:rsid w:val="00F1287B"/>
    <w:rsid w:val="00F13E2C"/>
    <w:rsid w:val="00F14CD6"/>
    <w:rsid w:val="00F16631"/>
    <w:rsid w:val="00F16807"/>
    <w:rsid w:val="00F2173B"/>
    <w:rsid w:val="00F22B5F"/>
    <w:rsid w:val="00F252E1"/>
    <w:rsid w:val="00F252F8"/>
    <w:rsid w:val="00F2531F"/>
    <w:rsid w:val="00F2542C"/>
    <w:rsid w:val="00F35852"/>
    <w:rsid w:val="00F427D9"/>
    <w:rsid w:val="00F43C6B"/>
    <w:rsid w:val="00F44F4E"/>
    <w:rsid w:val="00F45672"/>
    <w:rsid w:val="00F46D4B"/>
    <w:rsid w:val="00F4707D"/>
    <w:rsid w:val="00F47852"/>
    <w:rsid w:val="00F50C17"/>
    <w:rsid w:val="00F533C5"/>
    <w:rsid w:val="00F6096F"/>
    <w:rsid w:val="00F61046"/>
    <w:rsid w:val="00F65900"/>
    <w:rsid w:val="00F67B30"/>
    <w:rsid w:val="00F73C82"/>
    <w:rsid w:val="00F74B10"/>
    <w:rsid w:val="00F753E9"/>
    <w:rsid w:val="00F7542C"/>
    <w:rsid w:val="00F758B2"/>
    <w:rsid w:val="00F758C0"/>
    <w:rsid w:val="00F75EDF"/>
    <w:rsid w:val="00F77580"/>
    <w:rsid w:val="00F80496"/>
    <w:rsid w:val="00F81DF8"/>
    <w:rsid w:val="00F83938"/>
    <w:rsid w:val="00F856B1"/>
    <w:rsid w:val="00F85E73"/>
    <w:rsid w:val="00F87F6C"/>
    <w:rsid w:val="00F907DF"/>
    <w:rsid w:val="00F91B36"/>
    <w:rsid w:val="00F9212E"/>
    <w:rsid w:val="00F93974"/>
    <w:rsid w:val="00F9516B"/>
    <w:rsid w:val="00F9586F"/>
    <w:rsid w:val="00FA016F"/>
    <w:rsid w:val="00FA3175"/>
    <w:rsid w:val="00FA58D0"/>
    <w:rsid w:val="00FB0C2E"/>
    <w:rsid w:val="00FB293A"/>
    <w:rsid w:val="00FB523D"/>
    <w:rsid w:val="00FB5E16"/>
    <w:rsid w:val="00FB6107"/>
    <w:rsid w:val="00FB7830"/>
    <w:rsid w:val="00FC40B8"/>
    <w:rsid w:val="00FC5D7B"/>
    <w:rsid w:val="00FC7790"/>
    <w:rsid w:val="00FD060E"/>
    <w:rsid w:val="00FD15EA"/>
    <w:rsid w:val="00FD18B2"/>
    <w:rsid w:val="00FD1E00"/>
    <w:rsid w:val="00FD2A34"/>
    <w:rsid w:val="00FD2E19"/>
    <w:rsid w:val="00FD30F2"/>
    <w:rsid w:val="00FD377E"/>
    <w:rsid w:val="00FD4B83"/>
    <w:rsid w:val="00FD5FE8"/>
    <w:rsid w:val="00FD6E08"/>
    <w:rsid w:val="00FE07B5"/>
    <w:rsid w:val="00FE262E"/>
    <w:rsid w:val="00FE3A0F"/>
    <w:rsid w:val="00FF3A53"/>
    <w:rsid w:val="00FF3C41"/>
    <w:rsid w:val="00FF3F7F"/>
    <w:rsid w:val="00FF4378"/>
    <w:rsid w:val="00FF4FA2"/>
    <w:rsid w:val="00FF6777"/>
    <w:rsid w:val="00FF6A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482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4CA0"/>
    <w:rPr>
      <w:color w:val="0000FF" w:themeColor="hyperlink"/>
      <w:u w:val="single"/>
    </w:rPr>
  </w:style>
  <w:style w:type="table" w:styleId="TableGrid">
    <w:name w:val="Table Grid"/>
    <w:basedOn w:val="TableNormal"/>
    <w:uiPriority w:val="59"/>
    <w:rsid w:val="002A41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C12D7"/>
    <w:rPr>
      <w:b/>
      <w:bCs/>
    </w:rPr>
  </w:style>
  <w:style w:type="character" w:styleId="Emphasis">
    <w:name w:val="Emphasis"/>
    <w:basedOn w:val="DefaultParagraphFont"/>
    <w:uiPriority w:val="20"/>
    <w:qFormat/>
    <w:rsid w:val="008C12D7"/>
    <w:rPr>
      <w:i/>
      <w:iCs/>
    </w:rPr>
  </w:style>
  <w:style w:type="paragraph" w:styleId="ListParagraph">
    <w:name w:val="List Paragraph"/>
    <w:basedOn w:val="Normal"/>
    <w:uiPriority w:val="34"/>
    <w:qFormat/>
    <w:rsid w:val="00CB6E5C"/>
    <w:pPr>
      <w:ind w:left="720"/>
      <w:contextualSpacing/>
    </w:pPr>
  </w:style>
  <w:style w:type="paragraph" w:styleId="NormalWeb">
    <w:name w:val="Normal (Web)"/>
    <w:basedOn w:val="Normal"/>
    <w:uiPriority w:val="99"/>
    <w:unhideWhenUsed/>
    <w:rsid w:val="004168A0"/>
    <w:pPr>
      <w:spacing w:before="100" w:beforeAutospacing="1" w:after="100" w:afterAutospacing="1"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3713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358"/>
    <w:rPr>
      <w:rFonts w:ascii="Tahoma" w:eastAsia="Calibri" w:hAnsi="Tahoma" w:cs="Tahoma"/>
      <w:sz w:val="16"/>
      <w:szCs w:val="16"/>
    </w:rPr>
  </w:style>
  <w:style w:type="paragraph" w:styleId="Header">
    <w:name w:val="header"/>
    <w:basedOn w:val="Normal"/>
    <w:link w:val="HeaderChar"/>
    <w:uiPriority w:val="99"/>
    <w:unhideWhenUsed/>
    <w:rsid w:val="00505A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5A77"/>
    <w:rPr>
      <w:rFonts w:ascii="Calibri" w:eastAsia="Calibri" w:hAnsi="Calibri" w:cs="Times New Roman"/>
    </w:rPr>
  </w:style>
  <w:style w:type="paragraph" w:styleId="Footer">
    <w:name w:val="footer"/>
    <w:basedOn w:val="Normal"/>
    <w:link w:val="FooterChar"/>
    <w:uiPriority w:val="99"/>
    <w:unhideWhenUsed/>
    <w:rsid w:val="00505A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5A77"/>
    <w:rPr>
      <w:rFonts w:ascii="Calibri" w:eastAsia="Calibri" w:hAnsi="Calibri" w:cs="Times New Roman"/>
    </w:rPr>
  </w:style>
  <w:style w:type="character" w:styleId="FollowedHyperlink">
    <w:name w:val="FollowedHyperlink"/>
    <w:basedOn w:val="DefaultParagraphFont"/>
    <w:uiPriority w:val="99"/>
    <w:semiHidden/>
    <w:unhideWhenUsed/>
    <w:rsid w:val="005117D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482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4CA0"/>
    <w:rPr>
      <w:color w:val="0000FF" w:themeColor="hyperlink"/>
      <w:u w:val="single"/>
    </w:rPr>
  </w:style>
  <w:style w:type="table" w:styleId="TableGrid">
    <w:name w:val="Table Grid"/>
    <w:basedOn w:val="TableNormal"/>
    <w:uiPriority w:val="59"/>
    <w:rsid w:val="002A41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C12D7"/>
    <w:rPr>
      <w:b/>
      <w:bCs/>
    </w:rPr>
  </w:style>
  <w:style w:type="character" w:styleId="Emphasis">
    <w:name w:val="Emphasis"/>
    <w:basedOn w:val="DefaultParagraphFont"/>
    <w:uiPriority w:val="20"/>
    <w:qFormat/>
    <w:rsid w:val="008C12D7"/>
    <w:rPr>
      <w:i/>
      <w:iCs/>
    </w:rPr>
  </w:style>
  <w:style w:type="paragraph" w:styleId="ListParagraph">
    <w:name w:val="List Paragraph"/>
    <w:basedOn w:val="Normal"/>
    <w:uiPriority w:val="34"/>
    <w:qFormat/>
    <w:rsid w:val="00CB6E5C"/>
    <w:pPr>
      <w:ind w:left="720"/>
      <w:contextualSpacing/>
    </w:pPr>
  </w:style>
  <w:style w:type="paragraph" w:styleId="NormalWeb">
    <w:name w:val="Normal (Web)"/>
    <w:basedOn w:val="Normal"/>
    <w:uiPriority w:val="99"/>
    <w:unhideWhenUsed/>
    <w:rsid w:val="004168A0"/>
    <w:pPr>
      <w:spacing w:before="100" w:beforeAutospacing="1" w:after="100" w:afterAutospacing="1"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3713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358"/>
    <w:rPr>
      <w:rFonts w:ascii="Tahoma" w:eastAsia="Calibri" w:hAnsi="Tahoma" w:cs="Tahoma"/>
      <w:sz w:val="16"/>
      <w:szCs w:val="16"/>
    </w:rPr>
  </w:style>
  <w:style w:type="paragraph" w:styleId="Header">
    <w:name w:val="header"/>
    <w:basedOn w:val="Normal"/>
    <w:link w:val="HeaderChar"/>
    <w:uiPriority w:val="99"/>
    <w:unhideWhenUsed/>
    <w:rsid w:val="00505A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5A77"/>
    <w:rPr>
      <w:rFonts w:ascii="Calibri" w:eastAsia="Calibri" w:hAnsi="Calibri" w:cs="Times New Roman"/>
    </w:rPr>
  </w:style>
  <w:style w:type="paragraph" w:styleId="Footer">
    <w:name w:val="footer"/>
    <w:basedOn w:val="Normal"/>
    <w:link w:val="FooterChar"/>
    <w:uiPriority w:val="99"/>
    <w:unhideWhenUsed/>
    <w:rsid w:val="00505A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5A77"/>
    <w:rPr>
      <w:rFonts w:ascii="Calibri" w:eastAsia="Calibri" w:hAnsi="Calibri" w:cs="Times New Roman"/>
    </w:rPr>
  </w:style>
  <w:style w:type="character" w:styleId="FollowedHyperlink">
    <w:name w:val="FollowedHyperlink"/>
    <w:basedOn w:val="DefaultParagraphFont"/>
    <w:uiPriority w:val="99"/>
    <w:semiHidden/>
    <w:unhideWhenUsed/>
    <w:rsid w:val="005117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440747">
      <w:bodyDiv w:val="1"/>
      <w:marLeft w:val="0"/>
      <w:marRight w:val="0"/>
      <w:marTop w:val="0"/>
      <w:marBottom w:val="0"/>
      <w:divBdr>
        <w:top w:val="none" w:sz="0" w:space="0" w:color="auto"/>
        <w:left w:val="none" w:sz="0" w:space="0" w:color="auto"/>
        <w:bottom w:val="none" w:sz="0" w:space="0" w:color="auto"/>
        <w:right w:val="none" w:sz="0" w:space="0" w:color="auto"/>
      </w:divBdr>
    </w:div>
    <w:div w:id="370691728">
      <w:bodyDiv w:val="1"/>
      <w:marLeft w:val="0"/>
      <w:marRight w:val="0"/>
      <w:marTop w:val="0"/>
      <w:marBottom w:val="0"/>
      <w:divBdr>
        <w:top w:val="none" w:sz="0" w:space="0" w:color="auto"/>
        <w:left w:val="none" w:sz="0" w:space="0" w:color="auto"/>
        <w:bottom w:val="none" w:sz="0" w:space="0" w:color="auto"/>
        <w:right w:val="none" w:sz="0" w:space="0" w:color="auto"/>
      </w:divBdr>
    </w:div>
    <w:div w:id="440077379">
      <w:bodyDiv w:val="1"/>
      <w:marLeft w:val="0"/>
      <w:marRight w:val="0"/>
      <w:marTop w:val="0"/>
      <w:marBottom w:val="0"/>
      <w:divBdr>
        <w:top w:val="none" w:sz="0" w:space="0" w:color="auto"/>
        <w:left w:val="none" w:sz="0" w:space="0" w:color="auto"/>
        <w:bottom w:val="none" w:sz="0" w:space="0" w:color="auto"/>
        <w:right w:val="none" w:sz="0" w:space="0" w:color="auto"/>
      </w:divBdr>
    </w:div>
    <w:div w:id="606893276">
      <w:bodyDiv w:val="1"/>
      <w:marLeft w:val="0"/>
      <w:marRight w:val="0"/>
      <w:marTop w:val="0"/>
      <w:marBottom w:val="0"/>
      <w:divBdr>
        <w:top w:val="none" w:sz="0" w:space="0" w:color="auto"/>
        <w:left w:val="none" w:sz="0" w:space="0" w:color="auto"/>
        <w:bottom w:val="none" w:sz="0" w:space="0" w:color="auto"/>
        <w:right w:val="none" w:sz="0" w:space="0" w:color="auto"/>
      </w:divBdr>
      <w:divsChild>
        <w:div w:id="1745255009">
          <w:marLeft w:val="0"/>
          <w:marRight w:val="0"/>
          <w:marTop w:val="0"/>
          <w:marBottom w:val="0"/>
          <w:divBdr>
            <w:top w:val="none" w:sz="0" w:space="0" w:color="auto"/>
            <w:left w:val="none" w:sz="0" w:space="0" w:color="auto"/>
            <w:bottom w:val="none" w:sz="0" w:space="0" w:color="auto"/>
            <w:right w:val="none" w:sz="0" w:space="0" w:color="auto"/>
          </w:divBdr>
        </w:div>
        <w:div w:id="231354311">
          <w:marLeft w:val="0"/>
          <w:marRight w:val="0"/>
          <w:marTop w:val="0"/>
          <w:marBottom w:val="0"/>
          <w:divBdr>
            <w:top w:val="none" w:sz="0" w:space="0" w:color="auto"/>
            <w:left w:val="none" w:sz="0" w:space="0" w:color="auto"/>
            <w:bottom w:val="none" w:sz="0" w:space="0" w:color="auto"/>
            <w:right w:val="none" w:sz="0" w:space="0" w:color="auto"/>
          </w:divBdr>
        </w:div>
        <w:div w:id="98918535">
          <w:marLeft w:val="0"/>
          <w:marRight w:val="0"/>
          <w:marTop w:val="0"/>
          <w:marBottom w:val="0"/>
          <w:divBdr>
            <w:top w:val="none" w:sz="0" w:space="0" w:color="auto"/>
            <w:left w:val="none" w:sz="0" w:space="0" w:color="auto"/>
            <w:bottom w:val="none" w:sz="0" w:space="0" w:color="auto"/>
            <w:right w:val="none" w:sz="0" w:space="0" w:color="auto"/>
          </w:divBdr>
        </w:div>
        <w:div w:id="1075474515">
          <w:marLeft w:val="0"/>
          <w:marRight w:val="0"/>
          <w:marTop w:val="0"/>
          <w:marBottom w:val="0"/>
          <w:divBdr>
            <w:top w:val="none" w:sz="0" w:space="0" w:color="auto"/>
            <w:left w:val="none" w:sz="0" w:space="0" w:color="auto"/>
            <w:bottom w:val="none" w:sz="0" w:space="0" w:color="auto"/>
            <w:right w:val="none" w:sz="0" w:space="0" w:color="auto"/>
          </w:divBdr>
        </w:div>
        <w:div w:id="1048607440">
          <w:marLeft w:val="0"/>
          <w:marRight w:val="0"/>
          <w:marTop w:val="0"/>
          <w:marBottom w:val="0"/>
          <w:divBdr>
            <w:top w:val="none" w:sz="0" w:space="0" w:color="auto"/>
            <w:left w:val="none" w:sz="0" w:space="0" w:color="auto"/>
            <w:bottom w:val="none" w:sz="0" w:space="0" w:color="auto"/>
            <w:right w:val="none" w:sz="0" w:space="0" w:color="auto"/>
          </w:divBdr>
        </w:div>
      </w:divsChild>
    </w:div>
    <w:div w:id="655962053">
      <w:bodyDiv w:val="1"/>
      <w:marLeft w:val="0"/>
      <w:marRight w:val="0"/>
      <w:marTop w:val="0"/>
      <w:marBottom w:val="0"/>
      <w:divBdr>
        <w:top w:val="none" w:sz="0" w:space="0" w:color="auto"/>
        <w:left w:val="none" w:sz="0" w:space="0" w:color="auto"/>
        <w:bottom w:val="none" w:sz="0" w:space="0" w:color="auto"/>
        <w:right w:val="none" w:sz="0" w:space="0" w:color="auto"/>
      </w:divBdr>
    </w:div>
    <w:div w:id="818618895">
      <w:bodyDiv w:val="1"/>
      <w:marLeft w:val="0"/>
      <w:marRight w:val="0"/>
      <w:marTop w:val="0"/>
      <w:marBottom w:val="0"/>
      <w:divBdr>
        <w:top w:val="none" w:sz="0" w:space="0" w:color="auto"/>
        <w:left w:val="none" w:sz="0" w:space="0" w:color="auto"/>
        <w:bottom w:val="none" w:sz="0" w:space="0" w:color="auto"/>
        <w:right w:val="none" w:sz="0" w:space="0" w:color="auto"/>
      </w:divBdr>
    </w:div>
    <w:div w:id="981539574">
      <w:bodyDiv w:val="1"/>
      <w:marLeft w:val="0"/>
      <w:marRight w:val="0"/>
      <w:marTop w:val="0"/>
      <w:marBottom w:val="0"/>
      <w:divBdr>
        <w:top w:val="none" w:sz="0" w:space="0" w:color="auto"/>
        <w:left w:val="none" w:sz="0" w:space="0" w:color="auto"/>
        <w:bottom w:val="none" w:sz="0" w:space="0" w:color="auto"/>
        <w:right w:val="none" w:sz="0" w:space="0" w:color="auto"/>
      </w:divBdr>
    </w:div>
    <w:div w:id="1050300444">
      <w:bodyDiv w:val="1"/>
      <w:marLeft w:val="0"/>
      <w:marRight w:val="0"/>
      <w:marTop w:val="0"/>
      <w:marBottom w:val="0"/>
      <w:divBdr>
        <w:top w:val="none" w:sz="0" w:space="0" w:color="auto"/>
        <w:left w:val="none" w:sz="0" w:space="0" w:color="auto"/>
        <w:bottom w:val="none" w:sz="0" w:space="0" w:color="auto"/>
        <w:right w:val="none" w:sz="0" w:space="0" w:color="auto"/>
      </w:divBdr>
    </w:div>
    <w:div w:id="1099447354">
      <w:bodyDiv w:val="1"/>
      <w:marLeft w:val="0"/>
      <w:marRight w:val="0"/>
      <w:marTop w:val="0"/>
      <w:marBottom w:val="0"/>
      <w:divBdr>
        <w:top w:val="none" w:sz="0" w:space="0" w:color="auto"/>
        <w:left w:val="none" w:sz="0" w:space="0" w:color="auto"/>
        <w:bottom w:val="none" w:sz="0" w:space="0" w:color="auto"/>
        <w:right w:val="none" w:sz="0" w:space="0" w:color="auto"/>
      </w:divBdr>
      <w:divsChild>
        <w:div w:id="1895970968">
          <w:marLeft w:val="0"/>
          <w:marRight w:val="0"/>
          <w:marTop w:val="0"/>
          <w:marBottom w:val="0"/>
          <w:divBdr>
            <w:top w:val="none" w:sz="0" w:space="0" w:color="auto"/>
            <w:left w:val="none" w:sz="0" w:space="0" w:color="auto"/>
            <w:bottom w:val="none" w:sz="0" w:space="0" w:color="auto"/>
            <w:right w:val="none" w:sz="0" w:space="0" w:color="auto"/>
          </w:divBdr>
          <w:divsChild>
            <w:div w:id="1669751475">
              <w:marLeft w:val="0"/>
              <w:marRight w:val="0"/>
              <w:marTop w:val="0"/>
              <w:marBottom w:val="0"/>
              <w:divBdr>
                <w:top w:val="none" w:sz="0" w:space="0" w:color="auto"/>
                <w:left w:val="none" w:sz="0" w:space="0" w:color="auto"/>
                <w:bottom w:val="none" w:sz="0" w:space="0" w:color="auto"/>
                <w:right w:val="none" w:sz="0" w:space="0" w:color="auto"/>
              </w:divBdr>
            </w:div>
            <w:div w:id="161162856">
              <w:marLeft w:val="0"/>
              <w:marRight w:val="0"/>
              <w:marTop w:val="0"/>
              <w:marBottom w:val="0"/>
              <w:divBdr>
                <w:top w:val="none" w:sz="0" w:space="0" w:color="auto"/>
                <w:left w:val="none" w:sz="0" w:space="0" w:color="auto"/>
                <w:bottom w:val="none" w:sz="0" w:space="0" w:color="auto"/>
                <w:right w:val="none" w:sz="0" w:space="0" w:color="auto"/>
              </w:divBdr>
            </w:div>
            <w:div w:id="32968462">
              <w:marLeft w:val="0"/>
              <w:marRight w:val="0"/>
              <w:marTop w:val="0"/>
              <w:marBottom w:val="0"/>
              <w:divBdr>
                <w:top w:val="none" w:sz="0" w:space="0" w:color="auto"/>
                <w:left w:val="none" w:sz="0" w:space="0" w:color="auto"/>
                <w:bottom w:val="none" w:sz="0" w:space="0" w:color="auto"/>
                <w:right w:val="none" w:sz="0" w:space="0" w:color="auto"/>
              </w:divBdr>
            </w:div>
            <w:div w:id="91902895">
              <w:marLeft w:val="0"/>
              <w:marRight w:val="0"/>
              <w:marTop w:val="0"/>
              <w:marBottom w:val="0"/>
              <w:divBdr>
                <w:top w:val="none" w:sz="0" w:space="0" w:color="auto"/>
                <w:left w:val="none" w:sz="0" w:space="0" w:color="auto"/>
                <w:bottom w:val="none" w:sz="0" w:space="0" w:color="auto"/>
                <w:right w:val="none" w:sz="0" w:space="0" w:color="auto"/>
              </w:divBdr>
            </w:div>
            <w:div w:id="293826647">
              <w:marLeft w:val="0"/>
              <w:marRight w:val="0"/>
              <w:marTop w:val="0"/>
              <w:marBottom w:val="0"/>
              <w:divBdr>
                <w:top w:val="none" w:sz="0" w:space="0" w:color="auto"/>
                <w:left w:val="none" w:sz="0" w:space="0" w:color="auto"/>
                <w:bottom w:val="none" w:sz="0" w:space="0" w:color="auto"/>
                <w:right w:val="none" w:sz="0" w:space="0" w:color="auto"/>
              </w:divBdr>
            </w:div>
            <w:div w:id="194132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357083">
      <w:bodyDiv w:val="1"/>
      <w:marLeft w:val="0"/>
      <w:marRight w:val="0"/>
      <w:marTop w:val="0"/>
      <w:marBottom w:val="0"/>
      <w:divBdr>
        <w:top w:val="none" w:sz="0" w:space="0" w:color="auto"/>
        <w:left w:val="none" w:sz="0" w:space="0" w:color="auto"/>
        <w:bottom w:val="none" w:sz="0" w:space="0" w:color="auto"/>
        <w:right w:val="none" w:sz="0" w:space="0" w:color="auto"/>
      </w:divBdr>
    </w:div>
    <w:div w:id="1246721278">
      <w:bodyDiv w:val="1"/>
      <w:marLeft w:val="0"/>
      <w:marRight w:val="0"/>
      <w:marTop w:val="0"/>
      <w:marBottom w:val="0"/>
      <w:divBdr>
        <w:top w:val="none" w:sz="0" w:space="0" w:color="auto"/>
        <w:left w:val="none" w:sz="0" w:space="0" w:color="auto"/>
        <w:bottom w:val="none" w:sz="0" w:space="0" w:color="auto"/>
        <w:right w:val="none" w:sz="0" w:space="0" w:color="auto"/>
      </w:divBdr>
    </w:div>
    <w:div w:id="1322200372">
      <w:bodyDiv w:val="1"/>
      <w:marLeft w:val="0"/>
      <w:marRight w:val="0"/>
      <w:marTop w:val="0"/>
      <w:marBottom w:val="0"/>
      <w:divBdr>
        <w:top w:val="none" w:sz="0" w:space="0" w:color="auto"/>
        <w:left w:val="none" w:sz="0" w:space="0" w:color="auto"/>
        <w:bottom w:val="none" w:sz="0" w:space="0" w:color="auto"/>
        <w:right w:val="none" w:sz="0" w:space="0" w:color="auto"/>
      </w:divBdr>
    </w:div>
    <w:div w:id="1405372345">
      <w:bodyDiv w:val="1"/>
      <w:marLeft w:val="0"/>
      <w:marRight w:val="0"/>
      <w:marTop w:val="0"/>
      <w:marBottom w:val="0"/>
      <w:divBdr>
        <w:top w:val="none" w:sz="0" w:space="0" w:color="auto"/>
        <w:left w:val="none" w:sz="0" w:space="0" w:color="auto"/>
        <w:bottom w:val="none" w:sz="0" w:space="0" w:color="auto"/>
        <w:right w:val="none" w:sz="0" w:space="0" w:color="auto"/>
      </w:divBdr>
    </w:div>
    <w:div w:id="1418022041">
      <w:bodyDiv w:val="1"/>
      <w:marLeft w:val="0"/>
      <w:marRight w:val="0"/>
      <w:marTop w:val="0"/>
      <w:marBottom w:val="0"/>
      <w:divBdr>
        <w:top w:val="none" w:sz="0" w:space="0" w:color="auto"/>
        <w:left w:val="none" w:sz="0" w:space="0" w:color="auto"/>
        <w:bottom w:val="none" w:sz="0" w:space="0" w:color="auto"/>
        <w:right w:val="none" w:sz="0" w:space="0" w:color="auto"/>
      </w:divBdr>
    </w:div>
    <w:div w:id="1424959468">
      <w:bodyDiv w:val="1"/>
      <w:marLeft w:val="0"/>
      <w:marRight w:val="0"/>
      <w:marTop w:val="0"/>
      <w:marBottom w:val="0"/>
      <w:divBdr>
        <w:top w:val="none" w:sz="0" w:space="0" w:color="auto"/>
        <w:left w:val="none" w:sz="0" w:space="0" w:color="auto"/>
        <w:bottom w:val="none" w:sz="0" w:space="0" w:color="auto"/>
        <w:right w:val="none" w:sz="0" w:space="0" w:color="auto"/>
      </w:divBdr>
    </w:div>
    <w:div w:id="1455900179">
      <w:bodyDiv w:val="1"/>
      <w:marLeft w:val="0"/>
      <w:marRight w:val="0"/>
      <w:marTop w:val="0"/>
      <w:marBottom w:val="0"/>
      <w:divBdr>
        <w:top w:val="none" w:sz="0" w:space="0" w:color="auto"/>
        <w:left w:val="none" w:sz="0" w:space="0" w:color="auto"/>
        <w:bottom w:val="none" w:sz="0" w:space="0" w:color="auto"/>
        <w:right w:val="none" w:sz="0" w:space="0" w:color="auto"/>
      </w:divBdr>
    </w:div>
    <w:div w:id="1469086423">
      <w:bodyDiv w:val="1"/>
      <w:marLeft w:val="0"/>
      <w:marRight w:val="0"/>
      <w:marTop w:val="0"/>
      <w:marBottom w:val="0"/>
      <w:divBdr>
        <w:top w:val="none" w:sz="0" w:space="0" w:color="auto"/>
        <w:left w:val="none" w:sz="0" w:space="0" w:color="auto"/>
        <w:bottom w:val="none" w:sz="0" w:space="0" w:color="auto"/>
        <w:right w:val="none" w:sz="0" w:space="0" w:color="auto"/>
      </w:divBdr>
    </w:div>
    <w:div w:id="1526945256">
      <w:bodyDiv w:val="1"/>
      <w:marLeft w:val="0"/>
      <w:marRight w:val="0"/>
      <w:marTop w:val="0"/>
      <w:marBottom w:val="0"/>
      <w:divBdr>
        <w:top w:val="none" w:sz="0" w:space="0" w:color="auto"/>
        <w:left w:val="none" w:sz="0" w:space="0" w:color="auto"/>
        <w:bottom w:val="none" w:sz="0" w:space="0" w:color="auto"/>
        <w:right w:val="none" w:sz="0" w:space="0" w:color="auto"/>
      </w:divBdr>
    </w:div>
    <w:div w:id="1698235678">
      <w:bodyDiv w:val="1"/>
      <w:marLeft w:val="0"/>
      <w:marRight w:val="0"/>
      <w:marTop w:val="0"/>
      <w:marBottom w:val="0"/>
      <w:divBdr>
        <w:top w:val="none" w:sz="0" w:space="0" w:color="auto"/>
        <w:left w:val="none" w:sz="0" w:space="0" w:color="auto"/>
        <w:bottom w:val="none" w:sz="0" w:space="0" w:color="auto"/>
        <w:right w:val="none" w:sz="0" w:space="0" w:color="auto"/>
      </w:divBdr>
    </w:div>
    <w:div w:id="1828663705">
      <w:bodyDiv w:val="1"/>
      <w:marLeft w:val="0"/>
      <w:marRight w:val="0"/>
      <w:marTop w:val="0"/>
      <w:marBottom w:val="0"/>
      <w:divBdr>
        <w:top w:val="none" w:sz="0" w:space="0" w:color="auto"/>
        <w:left w:val="none" w:sz="0" w:space="0" w:color="auto"/>
        <w:bottom w:val="none" w:sz="0" w:space="0" w:color="auto"/>
        <w:right w:val="none" w:sz="0" w:space="0" w:color="auto"/>
      </w:divBdr>
      <w:divsChild>
        <w:div w:id="1999261074">
          <w:marLeft w:val="0"/>
          <w:marRight w:val="0"/>
          <w:marTop w:val="0"/>
          <w:marBottom w:val="0"/>
          <w:divBdr>
            <w:top w:val="none" w:sz="0" w:space="0" w:color="auto"/>
            <w:left w:val="none" w:sz="0" w:space="0" w:color="auto"/>
            <w:bottom w:val="none" w:sz="0" w:space="0" w:color="auto"/>
            <w:right w:val="none" w:sz="0" w:space="0" w:color="auto"/>
          </w:divBdr>
        </w:div>
        <w:div w:id="1764303902">
          <w:marLeft w:val="0"/>
          <w:marRight w:val="0"/>
          <w:marTop w:val="0"/>
          <w:marBottom w:val="0"/>
          <w:divBdr>
            <w:top w:val="none" w:sz="0" w:space="0" w:color="auto"/>
            <w:left w:val="none" w:sz="0" w:space="0" w:color="auto"/>
            <w:bottom w:val="none" w:sz="0" w:space="0" w:color="auto"/>
            <w:right w:val="none" w:sz="0" w:space="0" w:color="auto"/>
          </w:divBdr>
        </w:div>
        <w:div w:id="906233209">
          <w:marLeft w:val="0"/>
          <w:marRight w:val="0"/>
          <w:marTop w:val="0"/>
          <w:marBottom w:val="0"/>
          <w:divBdr>
            <w:top w:val="none" w:sz="0" w:space="0" w:color="auto"/>
            <w:left w:val="none" w:sz="0" w:space="0" w:color="auto"/>
            <w:bottom w:val="none" w:sz="0" w:space="0" w:color="auto"/>
            <w:right w:val="none" w:sz="0" w:space="0" w:color="auto"/>
          </w:divBdr>
        </w:div>
      </w:divsChild>
    </w:div>
    <w:div w:id="1857379894">
      <w:bodyDiv w:val="1"/>
      <w:marLeft w:val="0"/>
      <w:marRight w:val="0"/>
      <w:marTop w:val="0"/>
      <w:marBottom w:val="0"/>
      <w:divBdr>
        <w:top w:val="none" w:sz="0" w:space="0" w:color="auto"/>
        <w:left w:val="none" w:sz="0" w:space="0" w:color="auto"/>
        <w:bottom w:val="none" w:sz="0" w:space="0" w:color="auto"/>
        <w:right w:val="none" w:sz="0" w:space="0" w:color="auto"/>
      </w:divBdr>
    </w:div>
    <w:div w:id="187480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dventuresinevidence.files.wordpress.com/2013/11/5th-annual-report.pdf" TargetMode="External"/><Relationship Id="rId18"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sciencedirect.com/science/article/pii/S0272775714000910" TargetMode="External"/><Relationship Id="rId17"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hyperlink" Target="http://news.stv.tv/scotland-decides/news/1323848-more-than-6000-students-using-payday-loans-to-make-ends-meet/" TargetMode="External"/><Relationship Id="rId20" Type="http://schemas.openxmlformats.org/officeDocument/2006/relationships/hyperlink" Target="http://adventuresinevidence.com/2014/06/25/when-does-7600-mean-18500-or-more-the-problem-with-final-debt-figur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uploads/system/uploads/attachment_data/file/31982/10-1188-impact-finance-on-university-participation.pdf" TargetMode="External"/><Relationship Id="rId5" Type="http://schemas.openxmlformats.org/officeDocument/2006/relationships/settings" Target="settings.xml"/><Relationship Id="rId15" Type="http://schemas.openxmlformats.org/officeDocument/2006/relationships/hyperlink" Target="http://www.eurostudent.eu/download_files/documents/EVSynopsisofIndicators.pdf" TargetMode="External"/><Relationship Id="rId23" Type="http://schemas.openxmlformats.org/officeDocument/2006/relationships/theme" Target="theme/theme1.xml"/><Relationship Id="rId10" Type="http://schemas.openxmlformats.org/officeDocument/2006/relationships/hyperlink" Target="https://www.tes.co.uk/article.aspx?storycode=387873" TargetMode="External"/><Relationship Id="rId19" Type="http://schemas.openxmlformats.org/officeDocument/2006/relationships/chart" Target="charts/chart3.xml"/><Relationship Id="rId4" Type="http://schemas.microsoft.com/office/2007/relationships/stylesWithEffects" Target="stylesWithEffects.xml"/><Relationship Id="rId9" Type="http://schemas.openxmlformats.org/officeDocument/2006/relationships/hyperlink" Target="http://www.centreonconstitutionalchange.ac.uk/sites/default/files/papers/34ii_h_ESRCF_WP7.pdf" TargetMode="External"/><Relationship Id="rId14" Type="http://schemas.openxmlformats.org/officeDocument/2006/relationships/hyperlink" Target="http://oecdeducationtoday.blogspot.co.uk/2015/01/the-sustainability-of-uks-higher.html?spref=tw" TargetMode="Externa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D:\Odds\Student%20support%20comparator%20tables%20updated%20for%202014-1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Odds\UK%20debt%20distributio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Odds\Student%20support%20comparator%20tables%20updated%20for%202014-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85529281367302"/>
          <c:y val="0.34436934653554574"/>
          <c:w val="0.77454455555692903"/>
          <c:h val="0.49246212249219923"/>
        </c:manualLayout>
      </c:layout>
      <c:lineChart>
        <c:grouping val="standard"/>
        <c:varyColors val="0"/>
        <c:ser>
          <c:idx val="0"/>
          <c:order val="0"/>
          <c:tx>
            <c:strRef>
              <c:f>'UK comps annual figs (int adj)'!$C$78:$C$80</c:f>
              <c:strCache>
                <c:ptCount val="1"/>
                <c:pt idx="0">
                  <c:v>Scotland: at home and away</c:v>
                </c:pt>
              </c:strCache>
            </c:strRef>
          </c:tx>
          <c:spPr>
            <a:ln w="19050">
              <a:solidFill>
                <a:srgbClr val="FF0000"/>
              </a:solidFill>
            </a:ln>
          </c:spPr>
          <c:marker>
            <c:symbol val="none"/>
          </c:marker>
          <c:cat>
            <c:numRef>
              <c:f>'UK comps annual figs (int adj)'!$B$81:$B$146</c:f>
              <c:numCache>
                <c:formatCode>General</c:formatCode>
                <c:ptCount val="66"/>
                <c:pt idx="0">
                  <c:v>0</c:v>
                </c:pt>
                <c:pt idx="1">
                  <c:v>1000</c:v>
                </c:pt>
                <c:pt idx="2">
                  <c:v>2000</c:v>
                </c:pt>
                <c:pt idx="3">
                  <c:v>3000</c:v>
                </c:pt>
                <c:pt idx="4">
                  <c:v>4000</c:v>
                </c:pt>
                <c:pt idx="5">
                  <c:v>5000</c:v>
                </c:pt>
                <c:pt idx="6">
                  <c:v>6000</c:v>
                </c:pt>
                <c:pt idx="7">
                  <c:v>7000</c:v>
                </c:pt>
                <c:pt idx="8">
                  <c:v>8000</c:v>
                </c:pt>
                <c:pt idx="9">
                  <c:v>9000</c:v>
                </c:pt>
                <c:pt idx="10">
                  <c:v>10000</c:v>
                </c:pt>
                <c:pt idx="11">
                  <c:v>11000</c:v>
                </c:pt>
                <c:pt idx="12">
                  <c:v>12000</c:v>
                </c:pt>
                <c:pt idx="13">
                  <c:v>13000</c:v>
                </c:pt>
                <c:pt idx="14">
                  <c:v>14000</c:v>
                </c:pt>
                <c:pt idx="15">
                  <c:v>15000</c:v>
                </c:pt>
                <c:pt idx="16">
                  <c:v>16000</c:v>
                </c:pt>
                <c:pt idx="17">
                  <c:v>17000</c:v>
                </c:pt>
                <c:pt idx="18">
                  <c:v>18000</c:v>
                </c:pt>
                <c:pt idx="19">
                  <c:v>19000</c:v>
                </c:pt>
                <c:pt idx="20">
                  <c:v>20000</c:v>
                </c:pt>
                <c:pt idx="21">
                  <c:v>21000</c:v>
                </c:pt>
                <c:pt idx="22">
                  <c:v>22000</c:v>
                </c:pt>
                <c:pt idx="23">
                  <c:v>23000</c:v>
                </c:pt>
                <c:pt idx="24">
                  <c:v>24000</c:v>
                </c:pt>
                <c:pt idx="25">
                  <c:v>25000</c:v>
                </c:pt>
                <c:pt idx="26">
                  <c:v>26000</c:v>
                </c:pt>
                <c:pt idx="27">
                  <c:v>27000</c:v>
                </c:pt>
                <c:pt idx="28">
                  <c:v>28000</c:v>
                </c:pt>
                <c:pt idx="29">
                  <c:v>29000</c:v>
                </c:pt>
                <c:pt idx="30">
                  <c:v>30000</c:v>
                </c:pt>
                <c:pt idx="31">
                  <c:v>31000</c:v>
                </c:pt>
                <c:pt idx="32">
                  <c:v>32000</c:v>
                </c:pt>
                <c:pt idx="33">
                  <c:v>33000</c:v>
                </c:pt>
                <c:pt idx="34">
                  <c:v>34000</c:v>
                </c:pt>
                <c:pt idx="35">
                  <c:v>35000</c:v>
                </c:pt>
                <c:pt idx="36">
                  <c:v>36000</c:v>
                </c:pt>
                <c:pt idx="37">
                  <c:v>37000</c:v>
                </c:pt>
                <c:pt idx="38">
                  <c:v>38000</c:v>
                </c:pt>
                <c:pt idx="39">
                  <c:v>39000</c:v>
                </c:pt>
                <c:pt idx="40">
                  <c:v>40000</c:v>
                </c:pt>
                <c:pt idx="41">
                  <c:v>41000</c:v>
                </c:pt>
                <c:pt idx="42">
                  <c:v>42000</c:v>
                </c:pt>
                <c:pt idx="43">
                  <c:v>43000</c:v>
                </c:pt>
                <c:pt idx="44">
                  <c:v>44000</c:v>
                </c:pt>
                <c:pt idx="45">
                  <c:v>45000</c:v>
                </c:pt>
                <c:pt idx="46">
                  <c:v>46000</c:v>
                </c:pt>
                <c:pt idx="47">
                  <c:v>47000</c:v>
                </c:pt>
                <c:pt idx="48">
                  <c:v>48000</c:v>
                </c:pt>
                <c:pt idx="49">
                  <c:v>49000</c:v>
                </c:pt>
                <c:pt idx="50">
                  <c:v>50000</c:v>
                </c:pt>
                <c:pt idx="51">
                  <c:v>51000</c:v>
                </c:pt>
                <c:pt idx="52">
                  <c:v>52000</c:v>
                </c:pt>
                <c:pt idx="53">
                  <c:v>53000</c:v>
                </c:pt>
                <c:pt idx="54">
                  <c:v>54000</c:v>
                </c:pt>
                <c:pt idx="55">
                  <c:v>55000</c:v>
                </c:pt>
                <c:pt idx="56">
                  <c:v>56000</c:v>
                </c:pt>
                <c:pt idx="57">
                  <c:v>57000</c:v>
                </c:pt>
                <c:pt idx="58">
                  <c:v>58000</c:v>
                </c:pt>
                <c:pt idx="59">
                  <c:v>59000</c:v>
                </c:pt>
                <c:pt idx="60">
                  <c:v>60000</c:v>
                </c:pt>
                <c:pt idx="61">
                  <c:v>61000</c:v>
                </c:pt>
                <c:pt idx="62">
                  <c:v>62000</c:v>
                </c:pt>
                <c:pt idx="63">
                  <c:v>63000</c:v>
                </c:pt>
                <c:pt idx="64">
                  <c:v>64000</c:v>
                </c:pt>
                <c:pt idx="65">
                  <c:v>65000</c:v>
                </c:pt>
              </c:numCache>
            </c:numRef>
          </c:cat>
          <c:val>
            <c:numRef>
              <c:f>'UK comps annual figs (int adj)'!$C$81:$C$146</c:f>
              <c:numCache>
                <c:formatCode>General</c:formatCode>
                <c:ptCount val="66"/>
                <c:pt idx="0">
                  <c:v>7500</c:v>
                </c:pt>
                <c:pt idx="1">
                  <c:v>7500</c:v>
                </c:pt>
                <c:pt idx="2">
                  <c:v>7500</c:v>
                </c:pt>
                <c:pt idx="3">
                  <c:v>7500</c:v>
                </c:pt>
                <c:pt idx="4">
                  <c:v>7500</c:v>
                </c:pt>
                <c:pt idx="5">
                  <c:v>7500</c:v>
                </c:pt>
                <c:pt idx="6">
                  <c:v>7500</c:v>
                </c:pt>
                <c:pt idx="7">
                  <c:v>7500</c:v>
                </c:pt>
                <c:pt idx="8">
                  <c:v>7500</c:v>
                </c:pt>
                <c:pt idx="9">
                  <c:v>7500</c:v>
                </c:pt>
                <c:pt idx="10">
                  <c:v>7500</c:v>
                </c:pt>
                <c:pt idx="11">
                  <c:v>7500</c:v>
                </c:pt>
                <c:pt idx="12">
                  <c:v>7500</c:v>
                </c:pt>
                <c:pt idx="13">
                  <c:v>7500</c:v>
                </c:pt>
                <c:pt idx="14">
                  <c:v>7500</c:v>
                </c:pt>
                <c:pt idx="15">
                  <c:v>7500</c:v>
                </c:pt>
                <c:pt idx="16">
                  <c:v>7500</c:v>
                </c:pt>
                <c:pt idx="17">
                  <c:v>6750</c:v>
                </c:pt>
                <c:pt idx="18">
                  <c:v>6750</c:v>
                </c:pt>
                <c:pt idx="19">
                  <c:v>6750</c:v>
                </c:pt>
                <c:pt idx="20">
                  <c:v>6750</c:v>
                </c:pt>
                <c:pt idx="21">
                  <c:v>6750</c:v>
                </c:pt>
                <c:pt idx="22">
                  <c:v>6750</c:v>
                </c:pt>
                <c:pt idx="23">
                  <c:v>6750</c:v>
                </c:pt>
                <c:pt idx="24">
                  <c:v>6250</c:v>
                </c:pt>
                <c:pt idx="25">
                  <c:v>6250</c:v>
                </c:pt>
                <c:pt idx="26">
                  <c:v>6250</c:v>
                </c:pt>
                <c:pt idx="27">
                  <c:v>6250</c:v>
                </c:pt>
                <c:pt idx="28">
                  <c:v>6250</c:v>
                </c:pt>
                <c:pt idx="29">
                  <c:v>6250</c:v>
                </c:pt>
                <c:pt idx="30">
                  <c:v>6250</c:v>
                </c:pt>
                <c:pt idx="31">
                  <c:v>6250</c:v>
                </c:pt>
                <c:pt idx="32">
                  <c:v>6250</c:v>
                </c:pt>
                <c:pt idx="33">
                  <c:v>6250</c:v>
                </c:pt>
                <c:pt idx="34">
                  <c:v>4750</c:v>
                </c:pt>
                <c:pt idx="35">
                  <c:v>4750</c:v>
                </c:pt>
                <c:pt idx="36">
                  <c:v>4750</c:v>
                </c:pt>
                <c:pt idx="37">
                  <c:v>4750</c:v>
                </c:pt>
                <c:pt idx="38">
                  <c:v>4750</c:v>
                </c:pt>
                <c:pt idx="39">
                  <c:v>4750</c:v>
                </c:pt>
                <c:pt idx="40">
                  <c:v>4750</c:v>
                </c:pt>
                <c:pt idx="41">
                  <c:v>4750</c:v>
                </c:pt>
                <c:pt idx="42">
                  <c:v>4750</c:v>
                </c:pt>
                <c:pt idx="43">
                  <c:v>4750</c:v>
                </c:pt>
                <c:pt idx="44">
                  <c:v>4750</c:v>
                </c:pt>
                <c:pt idx="45">
                  <c:v>4750</c:v>
                </c:pt>
                <c:pt idx="46">
                  <c:v>4750</c:v>
                </c:pt>
                <c:pt idx="47">
                  <c:v>4750</c:v>
                </c:pt>
                <c:pt idx="48">
                  <c:v>4750</c:v>
                </c:pt>
                <c:pt idx="49">
                  <c:v>4750</c:v>
                </c:pt>
                <c:pt idx="50">
                  <c:v>4750</c:v>
                </c:pt>
                <c:pt idx="51">
                  <c:v>4750</c:v>
                </c:pt>
                <c:pt idx="52">
                  <c:v>4750</c:v>
                </c:pt>
                <c:pt idx="53">
                  <c:v>4750</c:v>
                </c:pt>
                <c:pt idx="54">
                  <c:v>4750</c:v>
                </c:pt>
                <c:pt idx="55">
                  <c:v>4750</c:v>
                </c:pt>
                <c:pt idx="56">
                  <c:v>4750</c:v>
                </c:pt>
                <c:pt idx="57">
                  <c:v>4750</c:v>
                </c:pt>
                <c:pt idx="58">
                  <c:v>4750</c:v>
                </c:pt>
                <c:pt idx="59">
                  <c:v>4750</c:v>
                </c:pt>
                <c:pt idx="60">
                  <c:v>4750</c:v>
                </c:pt>
                <c:pt idx="61">
                  <c:v>4750</c:v>
                </c:pt>
                <c:pt idx="62">
                  <c:v>4750</c:v>
                </c:pt>
                <c:pt idx="63">
                  <c:v>4750</c:v>
                </c:pt>
                <c:pt idx="64">
                  <c:v>4750</c:v>
                </c:pt>
                <c:pt idx="65">
                  <c:v>4750</c:v>
                </c:pt>
              </c:numCache>
            </c:numRef>
          </c:val>
          <c:smooth val="0"/>
        </c:ser>
        <c:ser>
          <c:idx val="2"/>
          <c:order val="1"/>
          <c:tx>
            <c:strRef>
              <c:f>'UK comps annual figs (int adj)'!$E$78:$E$80</c:f>
              <c:strCache>
                <c:ptCount val="1"/>
                <c:pt idx="0">
                  <c:v>England: away not London</c:v>
                </c:pt>
              </c:strCache>
            </c:strRef>
          </c:tx>
          <c:spPr>
            <a:ln w="19050">
              <a:solidFill>
                <a:srgbClr val="00B0F0"/>
              </a:solidFill>
            </a:ln>
          </c:spPr>
          <c:marker>
            <c:symbol val="none"/>
          </c:marker>
          <c:cat>
            <c:numRef>
              <c:f>'UK comps annual figs (int adj)'!$B$81:$B$146</c:f>
              <c:numCache>
                <c:formatCode>General</c:formatCode>
                <c:ptCount val="66"/>
                <c:pt idx="0">
                  <c:v>0</c:v>
                </c:pt>
                <c:pt idx="1">
                  <c:v>1000</c:v>
                </c:pt>
                <c:pt idx="2">
                  <c:v>2000</c:v>
                </c:pt>
                <c:pt idx="3">
                  <c:v>3000</c:v>
                </c:pt>
                <c:pt idx="4">
                  <c:v>4000</c:v>
                </c:pt>
                <c:pt idx="5">
                  <c:v>5000</c:v>
                </c:pt>
                <c:pt idx="6">
                  <c:v>6000</c:v>
                </c:pt>
                <c:pt idx="7">
                  <c:v>7000</c:v>
                </c:pt>
                <c:pt idx="8">
                  <c:v>8000</c:v>
                </c:pt>
                <c:pt idx="9">
                  <c:v>9000</c:v>
                </c:pt>
                <c:pt idx="10">
                  <c:v>10000</c:v>
                </c:pt>
                <c:pt idx="11">
                  <c:v>11000</c:v>
                </c:pt>
                <c:pt idx="12">
                  <c:v>12000</c:v>
                </c:pt>
                <c:pt idx="13">
                  <c:v>13000</c:v>
                </c:pt>
                <c:pt idx="14">
                  <c:v>14000</c:v>
                </c:pt>
                <c:pt idx="15">
                  <c:v>15000</c:v>
                </c:pt>
                <c:pt idx="16">
                  <c:v>16000</c:v>
                </c:pt>
                <c:pt idx="17">
                  <c:v>17000</c:v>
                </c:pt>
                <c:pt idx="18">
                  <c:v>18000</c:v>
                </c:pt>
                <c:pt idx="19">
                  <c:v>19000</c:v>
                </c:pt>
                <c:pt idx="20">
                  <c:v>20000</c:v>
                </c:pt>
                <c:pt idx="21">
                  <c:v>21000</c:v>
                </c:pt>
                <c:pt idx="22">
                  <c:v>22000</c:v>
                </c:pt>
                <c:pt idx="23">
                  <c:v>23000</c:v>
                </c:pt>
                <c:pt idx="24">
                  <c:v>24000</c:v>
                </c:pt>
                <c:pt idx="25">
                  <c:v>25000</c:v>
                </c:pt>
                <c:pt idx="26">
                  <c:v>26000</c:v>
                </c:pt>
                <c:pt idx="27">
                  <c:v>27000</c:v>
                </c:pt>
                <c:pt idx="28">
                  <c:v>28000</c:v>
                </c:pt>
                <c:pt idx="29">
                  <c:v>29000</c:v>
                </c:pt>
                <c:pt idx="30">
                  <c:v>30000</c:v>
                </c:pt>
                <c:pt idx="31">
                  <c:v>31000</c:v>
                </c:pt>
                <c:pt idx="32">
                  <c:v>32000</c:v>
                </c:pt>
                <c:pt idx="33">
                  <c:v>33000</c:v>
                </c:pt>
                <c:pt idx="34">
                  <c:v>34000</c:v>
                </c:pt>
                <c:pt idx="35">
                  <c:v>35000</c:v>
                </c:pt>
                <c:pt idx="36">
                  <c:v>36000</c:v>
                </c:pt>
                <c:pt idx="37">
                  <c:v>37000</c:v>
                </c:pt>
                <c:pt idx="38">
                  <c:v>38000</c:v>
                </c:pt>
                <c:pt idx="39">
                  <c:v>39000</c:v>
                </c:pt>
                <c:pt idx="40">
                  <c:v>40000</c:v>
                </c:pt>
                <c:pt idx="41">
                  <c:v>41000</c:v>
                </c:pt>
                <c:pt idx="42">
                  <c:v>42000</c:v>
                </c:pt>
                <c:pt idx="43">
                  <c:v>43000</c:v>
                </c:pt>
                <c:pt idx="44">
                  <c:v>44000</c:v>
                </c:pt>
                <c:pt idx="45">
                  <c:v>45000</c:v>
                </c:pt>
                <c:pt idx="46">
                  <c:v>46000</c:v>
                </c:pt>
                <c:pt idx="47">
                  <c:v>47000</c:v>
                </c:pt>
                <c:pt idx="48">
                  <c:v>48000</c:v>
                </c:pt>
                <c:pt idx="49">
                  <c:v>49000</c:v>
                </c:pt>
                <c:pt idx="50">
                  <c:v>50000</c:v>
                </c:pt>
                <c:pt idx="51">
                  <c:v>51000</c:v>
                </c:pt>
                <c:pt idx="52">
                  <c:v>52000</c:v>
                </c:pt>
                <c:pt idx="53">
                  <c:v>53000</c:v>
                </c:pt>
                <c:pt idx="54">
                  <c:v>54000</c:v>
                </c:pt>
                <c:pt idx="55">
                  <c:v>55000</c:v>
                </c:pt>
                <c:pt idx="56">
                  <c:v>56000</c:v>
                </c:pt>
                <c:pt idx="57">
                  <c:v>57000</c:v>
                </c:pt>
                <c:pt idx="58">
                  <c:v>58000</c:v>
                </c:pt>
                <c:pt idx="59">
                  <c:v>59000</c:v>
                </c:pt>
                <c:pt idx="60">
                  <c:v>60000</c:v>
                </c:pt>
                <c:pt idx="61">
                  <c:v>61000</c:v>
                </c:pt>
                <c:pt idx="62">
                  <c:v>62000</c:v>
                </c:pt>
                <c:pt idx="63">
                  <c:v>63000</c:v>
                </c:pt>
                <c:pt idx="64">
                  <c:v>64000</c:v>
                </c:pt>
                <c:pt idx="65">
                  <c:v>65000</c:v>
                </c:pt>
              </c:numCache>
            </c:numRef>
          </c:cat>
          <c:val>
            <c:numRef>
              <c:f>'UK comps annual figs (int adj)'!$E$81:$E$146</c:f>
              <c:numCache>
                <c:formatCode>General</c:formatCode>
                <c:ptCount val="66"/>
                <c:pt idx="0">
                  <c:v>7249</c:v>
                </c:pt>
                <c:pt idx="1">
                  <c:v>7249</c:v>
                </c:pt>
                <c:pt idx="2">
                  <c:v>7249</c:v>
                </c:pt>
                <c:pt idx="3">
                  <c:v>7249</c:v>
                </c:pt>
                <c:pt idx="4">
                  <c:v>7249</c:v>
                </c:pt>
                <c:pt idx="5">
                  <c:v>7249</c:v>
                </c:pt>
                <c:pt idx="6">
                  <c:v>7249</c:v>
                </c:pt>
                <c:pt idx="7">
                  <c:v>7249</c:v>
                </c:pt>
                <c:pt idx="8">
                  <c:v>7249</c:v>
                </c:pt>
                <c:pt idx="9">
                  <c:v>7249</c:v>
                </c:pt>
                <c:pt idx="10">
                  <c:v>7249</c:v>
                </c:pt>
                <c:pt idx="11">
                  <c:v>7249</c:v>
                </c:pt>
                <c:pt idx="12">
                  <c:v>7249</c:v>
                </c:pt>
                <c:pt idx="13">
                  <c:v>7249</c:v>
                </c:pt>
                <c:pt idx="14">
                  <c:v>7249</c:v>
                </c:pt>
                <c:pt idx="15">
                  <c:v>7249</c:v>
                </c:pt>
                <c:pt idx="16">
                  <c:v>7249</c:v>
                </c:pt>
                <c:pt idx="17">
                  <c:v>7249</c:v>
                </c:pt>
                <c:pt idx="18">
                  <c:v>7249</c:v>
                </c:pt>
                <c:pt idx="19">
                  <c:v>7249</c:v>
                </c:pt>
                <c:pt idx="20">
                  <c:v>7249</c:v>
                </c:pt>
                <c:pt idx="21">
                  <c:v>7249</c:v>
                </c:pt>
                <c:pt idx="22">
                  <c:v>7249</c:v>
                </c:pt>
                <c:pt idx="23">
                  <c:v>7249</c:v>
                </c:pt>
                <c:pt idx="24">
                  <c:v>7249</c:v>
                </c:pt>
                <c:pt idx="25">
                  <c:v>7249</c:v>
                </c:pt>
                <c:pt idx="26">
                  <c:v>7154</c:v>
                </c:pt>
                <c:pt idx="27">
                  <c:v>7060</c:v>
                </c:pt>
                <c:pt idx="28">
                  <c:v>6965</c:v>
                </c:pt>
                <c:pt idx="29">
                  <c:v>6870</c:v>
                </c:pt>
                <c:pt idx="30">
                  <c:v>6776</c:v>
                </c:pt>
                <c:pt idx="31">
                  <c:v>6681</c:v>
                </c:pt>
                <c:pt idx="32">
                  <c:v>6586</c:v>
                </c:pt>
                <c:pt idx="33">
                  <c:v>6491</c:v>
                </c:pt>
                <c:pt idx="34">
                  <c:v>6397</c:v>
                </c:pt>
                <c:pt idx="35">
                  <c:v>6302</c:v>
                </c:pt>
                <c:pt idx="36">
                  <c:v>6207</c:v>
                </c:pt>
                <c:pt idx="37">
                  <c:v>6113</c:v>
                </c:pt>
                <c:pt idx="38">
                  <c:v>6018</c:v>
                </c:pt>
                <c:pt idx="39">
                  <c:v>5923</c:v>
                </c:pt>
                <c:pt idx="40">
                  <c:v>5829</c:v>
                </c:pt>
                <c:pt idx="41">
                  <c:v>5734</c:v>
                </c:pt>
                <c:pt idx="42">
                  <c:v>5639</c:v>
                </c:pt>
                <c:pt idx="43">
                  <c:v>5543</c:v>
                </c:pt>
                <c:pt idx="44">
                  <c:v>5443</c:v>
                </c:pt>
                <c:pt idx="45">
                  <c:v>5343</c:v>
                </c:pt>
                <c:pt idx="46">
                  <c:v>5243</c:v>
                </c:pt>
                <c:pt idx="47">
                  <c:v>5143</c:v>
                </c:pt>
                <c:pt idx="48">
                  <c:v>5043</c:v>
                </c:pt>
                <c:pt idx="49">
                  <c:v>4943</c:v>
                </c:pt>
                <c:pt idx="50">
                  <c:v>4843</c:v>
                </c:pt>
                <c:pt idx="51">
                  <c:v>4743</c:v>
                </c:pt>
                <c:pt idx="52">
                  <c:v>4643</c:v>
                </c:pt>
                <c:pt idx="53">
                  <c:v>4543</c:v>
                </c:pt>
                <c:pt idx="54">
                  <c:v>4443</c:v>
                </c:pt>
                <c:pt idx="55">
                  <c:v>4343</c:v>
                </c:pt>
                <c:pt idx="56">
                  <c:v>4243</c:v>
                </c:pt>
                <c:pt idx="57">
                  <c:v>4143</c:v>
                </c:pt>
                <c:pt idx="58">
                  <c:v>4043</c:v>
                </c:pt>
                <c:pt idx="59">
                  <c:v>3943</c:v>
                </c:pt>
                <c:pt idx="60">
                  <c:v>3843</c:v>
                </c:pt>
                <c:pt idx="61">
                  <c:v>3743</c:v>
                </c:pt>
                <c:pt idx="62">
                  <c:v>3643</c:v>
                </c:pt>
                <c:pt idx="63">
                  <c:v>3610</c:v>
                </c:pt>
                <c:pt idx="64">
                  <c:v>3610</c:v>
                </c:pt>
                <c:pt idx="65">
                  <c:v>3610</c:v>
                </c:pt>
              </c:numCache>
            </c:numRef>
          </c:val>
          <c:smooth val="0"/>
        </c:ser>
        <c:ser>
          <c:idx val="3"/>
          <c:order val="2"/>
          <c:tx>
            <c:strRef>
              <c:f>'UK comps annual figs (int adj)'!$F$78:$F$80</c:f>
              <c:strCache>
                <c:ptCount val="1"/>
                <c:pt idx="0">
                  <c:v>Wales: away not London</c:v>
                </c:pt>
              </c:strCache>
            </c:strRef>
          </c:tx>
          <c:spPr>
            <a:ln w="19050">
              <a:solidFill>
                <a:srgbClr val="00B050"/>
              </a:solidFill>
            </a:ln>
          </c:spPr>
          <c:marker>
            <c:symbol val="none"/>
          </c:marker>
          <c:cat>
            <c:numRef>
              <c:f>'UK comps annual figs (int adj)'!$B$81:$B$146</c:f>
              <c:numCache>
                <c:formatCode>General</c:formatCode>
                <c:ptCount val="66"/>
                <c:pt idx="0">
                  <c:v>0</c:v>
                </c:pt>
                <c:pt idx="1">
                  <c:v>1000</c:v>
                </c:pt>
                <c:pt idx="2">
                  <c:v>2000</c:v>
                </c:pt>
                <c:pt idx="3">
                  <c:v>3000</c:v>
                </c:pt>
                <c:pt idx="4">
                  <c:v>4000</c:v>
                </c:pt>
                <c:pt idx="5">
                  <c:v>5000</c:v>
                </c:pt>
                <c:pt idx="6">
                  <c:v>6000</c:v>
                </c:pt>
                <c:pt idx="7">
                  <c:v>7000</c:v>
                </c:pt>
                <c:pt idx="8">
                  <c:v>8000</c:v>
                </c:pt>
                <c:pt idx="9">
                  <c:v>9000</c:v>
                </c:pt>
                <c:pt idx="10">
                  <c:v>10000</c:v>
                </c:pt>
                <c:pt idx="11">
                  <c:v>11000</c:v>
                </c:pt>
                <c:pt idx="12">
                  <c:v>12000</c:v>
                </c:pt>
                <c:pt idx="13">
                  <c:v>13000</c:v>
                </c:pt>
                <c:pt idx="14">
                  <c:v>14000</c:v>
                </c:pt>
                <c:pt idx="15">
                  <c:v>15000</c:v>
                </c:pt>
                <c:pt idx="16">
                  <c:v>16000</c:v>
                </c:pt>
                <c:pt idx="17">
                  <c:v>17000</c:v>
                </c:pt>
                <c:pt idx="18">
                  <c:v>18000</c:v>
                </c:pt>
                <c:pt idx="19">
                  <c:v>19000</c:v>
                </c:pt>
                <c:pt idx="20">
                  <c:v>20000</c:v>
                </c:pt>
                <c:pt idx="21">
                  <c:v>21000</c:v>
                </c:pt>
                <c:pt idx="22">
                  <c:v>22000</c:v>
                </c:pt>
                <c:pt idx="23">
                  <c:v>23000</c:v>
                </c:pt>
                <c:pt idx="24">
                  <c:v>24000</c:v>
                </c:pt>
                <c:pt idx="25">
                  <c:v>25000</c:v>
                </c:pt>
                <c:pt idx="26">
                  <c:v>26000</c:v>
                </c:pt>
                <c:pt idx="27">
                  <c:v>27000</c:v>
                </c:pt>
                <c:pt idx="28">
                  <c:v>28000</c:v>
                </c:pt>
                <c:pt idx="29">
                  <c:v>29000</c:v>
                </c:pt>
                <c:pt idx="30">
                  <c:v>30000</c:v>
                </c:pt>
                <c:pt idx="31">
                  <c:v>31000</c:v>
                </c:pt>
                <c:pt idx="32">
                  <c:v>32000</c:v>
                </c:pt>
                <c:pt idx="33">
                  <c:v>33000</c:v>
                </c:pt>
                <c:pt idx="34">
                  <c:v>34000</c:v>
                </c:pt>
                <c:pt idx="35">
                  <c:v>35000</c:v>
                </c:pt>
                <c:pt idx="36">
                  <c:v>36000</c:v>
                </c:pt>
                <c:pt idx="37">
                  <c:v>37000</c:v>
                </c:pt>
                <c:pt idx="38">
                  <c:v>38000</c:v>
                </c:pt>
                <c:pt idx="39">
                  <c:v>39000</c:v>
                </c:pt>
                <c:pt idx="40">
                  <c:v>40000</c:v>
                </c:pt>
                <c:pt idx="41">
                  <c:v>41000</c:v>
                </c:pt>
                <c:pt idx="42">
                  <c:v>42000</c:v>
                </c:pt>
                <c:pt idx="43">
                  <c:v>43000</c:v>
                </c:pt>
                <c:pt idx="44">
                  <c:v>44000</c:v>
                </c:pt>
                <c:pt idx="45">
                  <c:v>45000</c:v>
                </c:pt>
                <c:pt idx="46">
                  <c:v>46000</c:v>
                </c:pt>
                <c:pt idx="47">
                  <c:v>47000</c:v>
                </c:pt>
                <c:pt idx="48">
                  <c:v>48000</c:v>
                </c:pt>
                <c:pt idx="49">
                  <c:v>49000</c:v>
                </c:pt>
                <c:pt idx="50">
                  <c:v>50000</c:v>
                </c:pt>
                <c:pt idx="51">
                  <c:v>51000</c:v>
                </c:pt>
                <c:pt idx="52">
                  <c:v>52000</c:v>
                </c:pt>
                <c:pt idx="53">
                  <c:v>53000</c:v>
                </c:pt>
                <c:pt idx="54">
                  <c:v>54000</c:v>
                </c:pt>
                <c:pt idx="55">
                  <c:v>55000</c:v>
                </c:pt>
                <c:pt idx="56">
                  <c:v>56000</c:v>
                </c:pt>
                <c:pt idx="57">
                  <c:v>57000</c:v>
                </c:pt>
                <c:pt idx="58">
                  <c:v>58000</c:v>
                </c:pt>
                <c:pt idx="59">
                  <c:v>59000</c:v>
                </c:pt>
                <c:pt idx="60">
                  <c:v>60000</c:v>
                </c:pt>
                <c:pt idx="61">
                  <c:v>61000</c:v>
                </c:pt>
                <c:pt idx="62">
                  <c:v>62000</c:v>
                </c:pt>
                <c:pt idx="63">
                  <c:v>63000</c:v>
                </c:pt>
                <c:pt idx="64">
                  <c:v>64000</c:v>
                </c:pt>
                <c:pt idx="65">
                  <c:v>65000</c:v>
                </c:pt>
              </c:numCache>
            </c:numRef>
          </c:cat>
          <c:val>
            <c:numRef>
              <c:f>'UK comps annual figs (int adj)'!$F$81:$F$146</c:f>
              <c:numCache>
                <c:formatCode>0</c:formatCode>
                <c:ptCount val="66"/>
                <c:pt idx="0" formatCode="General">
                  <c:v>7783</c:v>
                </c:pt>
                <c:pt idx="1">
                  <c:v>7783</c:v>
                </c:pt>
                <c:pt idx="2">
                  <c:v>7783</c:v>
                </c:pt>
                <c:pt idx="3">
                  <c:v>7783</c:v>
                </c:pt>
                <c:pt idx="4">
                  <c:v>7783</c:v>
                </c:pt>
                <c:pt idx="5">
                  <c:v>7783</c:v>
                </c:pt>
                <c:pt idx="6">
                  <c:v>7783</c:v>
                </c:pt>
                <c:pt idx="7">
                  <c:v>7783</c:v>
                </c:pt>
                <c:pt idx="8">
                  <c:v>7783</c:v>
                </c:pt>
                <c:pt idx="9">
                  <c:v>7783</c:v>
                </c:pt>
                <c:pt idx="10">
                  <c:v>7783</c:v>
                </c:pt>
                <c:pt idx="11">
                  <c:v>7783</c:v>
                </c:pt>
                <c:pt idx="12">
                  <c:v>7783</c:v>
                </c:pt>
                <c:pt idx="13">
                  <c:v>7783</c:v>
                </c:pt>
                <c:pt idx="14">
                  <c:v>7783</c:v>
                </c:pt>
                <c:pt idx="15">
                  <c:v>7783</c:v>
                </c:pt>
                <c:pt idx="16">
                  <c:v>7783</c:v>
                </c:pt>
                <c:pt idx="17">
                  <c:v>7783</c:v>
                </c:pt>
                <c:pt idx="18">
                  <c:v>7783</c:v>
                </c:pt>
                <c:pt idx="19">
                  <c:v>7697</c:v>
                </c:pt>
                <c:pt idx="20">
                  <c:v>7560</c:v>
                </c:pt>
                <c:pt idx="21">
                  <c:v>7423</c:v>
                </c:pt>
                <c:pt idx="22">
                  <c:v>7286</c:v>
                </c:pt>
                <c:pt idx="23">
                  <c:v>7149</c:v>
                </c:pt>
                <c:pt idx="24">
                  <c:v>7012</c:v>
                </c:pt>
                <c:pt idx="25">
                  <c:v>6876</c:v>
                </c:pt>
                <c:pt idx="26">
                  <c:v>6739</c:v>
                </c:pt>
                <c:pt idx="27">
                  <c:v>6611</c:v>
                </c:pt>
                <c:pt idx="28">
                  <c:v>6491</c:v>
                </c:pt>
                <c:pt idx="29">
                  <c:v>6371</c:v>
                </c:pt>
                <c:pt idx="30">
                  <c:v>6252</c:v>
                </c:pt>
                <c:pt idx="31">
                  <c:v>6132</c:v>
                </c:pt>
                <c:pt idx="32">
                  <c:v>6013</c:v>
                </c:pt>
                <c:pt idx="33">
                  <c:v>5893</c:v>
                </c:pt>
                <c:pt idx="34">
                  <c:v>5773</c:v>
                </c:pt>
                <c:pt idx="35">
                  <c:v>5739</c:v>
                </c:pt>
                <c:pt idx="36">
                  <c:v>5705</c:v>
                </c:pt>
                <c:pt idx="37">
                  <c:v>5671</c:v>
                </c:pt>
                <c:pt idx="38">
                  <c:v>5637</c:v>
                </c:pt>
                <c:pt idx="39">
                  <c:v>5603</c:v>
                </c:pt>
                <c:pt idx="40">
                  <c:v>5569</c:v>
                </c:pt>
                <c:pt idx="41">
                  <c:v>5535</c:v>
                </c:pt>
                <c:pt idx="42">
                  <c:v>5501</c:v>
                </c:pt>
                <c:pt idx="43">
                  <c:v>5467</c:v>
                </c:pt>
                <c:pt idx="44">
                  <c:v>5433</c:v>
                </c:pt>
                <c:pt idx="45">
                  <c:v>5399</c:v>
                </c:pt>
                <c:pt idx="46">
                  <c:v>5364</c:v>
                </c:pt>
                <c:pt idx="47">
                  <c:v>5330</c:v>
                </c:pt>
                <c:pt idx="48">
                  <c:v>5296</c:v>
                </c:pt>
                <c:pt idx="49">
                  <c:v>5262</c:v>
                </c:pt>
                <c:pt idx="50">
                  <c:v>5228</c:v>
                </c:pt>
                <c:pt idx="51">
                  <c:v>5153</c:v>
                </c:pt>
                <c:pt idx="52">
                  <c:v>4953</c:v>
                </c:pt>
                <c:pt idx="53">
                  <c:v>4753</c:v>
                </c:pt>
                <c:pt idx="54">
                  <c:v>4553</c:v>
                </c:pt>
                <c:pt idx="55">
                  <c:v>4353</c:v>
                </c:pt>
                <c:pt idx="56">
                  <c:v>4153</c:v>
                </c:pt>
                <c:pt idx="57">
                  <c:v>3953</c:v>
                </c:pt>
                <c:pt idx="58">
                  <c:v>3953</c:v>
                </c:pt>
                <c:pt idx="59">
                  <c:v>3953</c:v>
                </c:pt>
                <c:pt idx="60">
                  <c:v>3953</c:v>
                </c:pt>
                <c:pt idx="61">
                  <c:v>3953</c:v>
                </c:pt>
                <c:pt idx="62">
                  <c:v>3953</c:v>
                </c:pt>
                <c:pt idx="63">
                  <c:v>3953</c:v>
                </c:pt>
                <c:pt idx="64">
                  <c:v>3953</c:v>
                </c:pt>
                <c:pt idx="65">
                  <c:v>3953</c:v>
                </c:pt>
              </c:numCache>
            </c:numRef>
          </c:val>
          <c:smooth val="0"/>
        </c:ser>
        <c:ser>
          <c:idx val="5"/>
          <c:order val="3"/>
          <c:tx>
            <c:strRef>
              <c:f>'UK comps annual figs (int adj)'!$H$78:$H$80</c:f>
              <c:strCache>
                <c:ptCount val="1"/>
                <c:pt idx="0">
                  <c:v>Northern Ireland: away not London</c:v>
                </c:pt>
              </c:strCache>
            </c:strRef>
          </c:tx>
          <c:spPr>
            <a:ln w="19050">
              <a:solidFill>
                <a:schemeClr val="bg2">
                  <a:lumMod val="25000"/>
                </a:schemeClr>
              </a:solidFill>
            </a:ln>
          </c:spPr>
          <c:marker>
            <c:symbol val="none"/>
          </c:marker>
          <c:cat>
            <c:numRef>
              <c:f>'UK comps annual figs (int adj)'!$B$81:$B$146</c:f>
              <c:numCache>
                <c:formatCode>General</c:formatCode>
                <c:ptCount val="66"/>
                <c:pt idx="0">
                  <c:v>0</c:v>
                </c:pt>
                <c:pt idx="1">
                  <c:v>1000</c:v>
                </c:pt>
                <c:pt idx="2">
                  <c:v>2000</c:v>
                </c:pt>
                <c:pt idx="3">
                  <c:v>3000</c:v>
                </c:pt>
                <c:pt idx="4">
                  <c:v>4000</c:v>
                </c:pt>
                <c:pt idx="5">
                  <c:v>5000</c:v>
                </c:pt>
                <c:pt idx="6">
                  <c:v>6000</c:v>
                </c:pt>
                <c:pt idx="7">
                  <c:v>7000</c:v>
                </c:pt>
                <c:pt idx="8">
                  <c:v>8000</c:v>
                </c:pt>
                <c:pt idx="9">
                  <c:v>9000</c:v>
                </c:pt>
                <c:pt idx="10">
                  <c:v>10000</c:v>
                </c:pt>
                <c:pt idx="11">
                  <c:v>11000</c:v>
                </c:pt>
                <c:pt idx="12">
                  <c:v>12000</c:v>
                </c:pt>
                <c:pt idx="13">
                  <c:v>13000</c:v>
                </c:pt>
                <c:pt idx="14">
                  <c:v>14000</c:v>
                </c:pt>
                <c:pt idx="15">
                  <c:v>15000</c:v>
                </c:pt>
                <c:pt idx="16">
                  <c:v>16000</c:v>
                </c:pt>
                <c:pt idx="17">
                  <c:v>17000</c:v>
                </c:pt>
                <c:pt idx="18">
                  <c:v>18000</c:v>
                </c:pt>
                <c:pt idx="19">
                  <c:v>19000</c:v>
                </c:pt>
                <c:pt idx="20">
                  <c:v>20000</c:v>
                </c:pt>
                <c:pt idx="21">
                  <c:v>21000</c:v>
                </c:pt>
                <c:pt idx="22">
                  <c:v>22000</c:v>
                </c:pt>
                <c:pt idx="23">
                  <c:v>23000</c:v>
                </c:pt>
                <c:pt idx="24">
                  <c:v>24000</c:v>
                </c:pt>
                <c:pt idx="25">
                  <c:v>25000</c:v>
                </c:pt>
                <c:pt idx="26">
                  <c:v>26000</c:v>
                </c:pt>
                <c:pt idx="27">
                  <c:v>27000</c:v>
                </c:pt>
                <c:pt idx="28">
                  <c:v>28000</c:v>
                </c:pt>
                <c:pt idx="29">
                  <c:v>29000</c:v>
                </c:pt>
                <c:pt idx="30">
                  <c:v>30000</c:v>
                </c:pt>
                <c:pt idx="31">
                  <c:v>31000</c:v>
                </c:pt>
                <c:pt idx="32">
                  <c:v>32000</c:v>
                </c:pt>
                <c:pt idx="33">
                  <c:v>33000</c:v>
                </c:pt>
                <c:pt idx="34">
                  <c:v>34000</c:v>
                </c:pt>
                <c:pt idx="35">
                  <c:v>35000</c:v>
                </c:pt>
                <c:pt idx="36">
                  <c:v>36000</c:v>
                </c:pt>
                <c:pt idx="37">
                  <c:v>37000</c:v>
                </c:pt>
                <c:pt idx="38">
                  <c:v>38000</c:v>
                </c:pt>
                <c:pt idx="39">
                  <c:v>39000</c:v>
                </c:pt>
                <c:pt idx="40">
                  <c:v>40000</c:v>
                </c:pt>
                <c:pt idx="41">
                  <c:v>41000</c:v>
                </c:pt>
                <c:pt idx="42">
                  <c:v>42000</c:v>
                </c:pt>
                <c:pt idx="43">
                  <c:v>43000</c:v>
                </c:pt>
                <c:pt idx="44">
                  <c:v>44000</c:v>
                </c:pt>
                <c:pt idx="45">
                  <c:v>45000</c:v>
                </c:pt>
                <c:pt idx="46">
                  <c:v>46000</c:v>
                </c:pt>
                <c:pt idx="47">
                  <c:v>47000</c:v>
                </c:pt>
                <c:pt idx="48">
                  <c:v>48000</c:v>
                </c:pt>
                <c:pt idx="49">
                  <c:v>49000</c:v>
                </c:pt>
                <c:pt idx="50">
                  <c:v>50000</c:v>
                </c:pt>
                <c:pt idx="51">
                  <c:v>51000</c:v>
                </c:pt>
                <c:pt idx="52">
                  <c:v>52000</c:v>
                </c:pt>
                <c:pt idx="53">
                  <c:v>53000</c:v>
                </c:pt>
                <c:pt idx="54">
                  <c:v>54000</c:v>
                </c:pt>
                <c:pt idx="55">
                  <c:v>55000</c:v>
                </c:pt>
                <c:pt idx="56">
                  <c:v>56000</c:v>
                </c:pt>
                <c:pt idx="57">
                  <c:v>57000</c:v>
                </c:pt>
                <c:pt idx="58">
                  <c:v>58000</c:v>
                </c:pt>
                <c:pt idx="59">
                  <c:v>59000</c:v>
                </c:pt>
                <c:pt idx="60">
                  <c:v>60000</c:v>
                </c:pt>
                <c:pt idx="61">
                  <c:v>61000</c:v>
                </c:pt>
                <c:pt idx="62">
                  <c:v>62000</c:v>
                </c:pt>
                <c:pt idx="63">
                  <c:v>63000</c:v>
                </c:pt>
                <c:pt idx="64">
                  <c:v>64000</c:v>
                </c:pt>
                <c:pt idx="65">
                  <c:v>65000</c:v>
                </c:pt>
              </c:numCache>
            </c:numRef>
          </c:cat>
          <c:val>
            <c:numRef>
              <c:f>'UK comps annual figs (int adj)'!$H$81:$H$146</c:f>
              <c:numCache>
                <c:formatCode>General</c:formatCode>
                <c:ptCount val="66"/>
                <c:pt idx="0">
                  <c:v>6428</c:v>
                </c:pt>
                <c:pt idx="1">
                  <c:v>6428</c:v>
                </c:pt>
                <c:pt idx="2">
                  <c:v>6428</c:v>
                </c:pt>
                <c:pt idx="3">
                  <c:v>6428</c:v>
                </c:pt>
                <c:pt idx="4">
                  <c:v>6428</c:v>
                </c:pt>
                <c:pt idx="5">
                  <c:v>6428</c:v>
                </c:pt>
                <c:pt idx="6">
                  <c:v>6428</c:v>
                </c:pt>
                <c:pt idx="7">
                  <c:v>6428</c:v>
                </c:pt>
                <c:pt idx="8">
                  <c:v>6428</c:v>
                </c:pt>
                <c:pt idx="9">
                  <c:v>6428</c:v>
                </c:pt>
                <c:pt idx="10">
                  <c:v>6428</c:v>
                </c:pt>
                <c:pt idx="11">
                  <c:v>6428</c:v>
                </c:pt>
                <c:pt idx="12">
                  <c:v>6428</c:v>
                </c:pt>
                <c:pt idx="13">
                  <c:v>6428</c:v>
                </c:pt>
                <c:pt idx="14">
                  <c:v>6428</c:v>
                </c:pt>
                <c:pt idx="15">
                  <c:v>6428</c:v>
                </c:pt>
                <c:pt idx="16">
                  <c:v>6428</c:v>
                </c:pt>
                <c:pt idx="17">
                  <c:v>6428</c:v>
                </c:pt>
                <c:pt idx="18">
                  <c:v>6428</c:v>
                </c:pt>
                <c:pt idx="19">
                  <c:v>6428</c:v>
                </c:pt>
                <c:pt idx="20">
                  <c:v>6299</c:v>
                </c:pt>
                <c:pt idx="21">
                  <c:v>6138</c:v>
                </c:pt>
                <c:pt idx="22">
                  <c:v>5976</c:v>
                </c:pt>
                <c:pt idx="23">
                  <c:v>5814</c:v>
                </c:pt>
                <c:pt idx="24">
                  <c:v>5652</c:v>
                </c:pt>
                <c:pt idx="25">
                  <c:v>5490</c:v>
                </c:pt>
                <c:pt idx="26">
                  <c:v>5329</c:v>
                </c:pt>
                <c:pt idx="27">
                  <c:v>5167</c:v>
                </c:pt>
                <c:pt idx="28">
                  <c:v>5004</c:v>
                </c:pt>
                <c:pt idx="29">
                  <c:v>4842</c:v>
                </c:pt>
                <c:pt idx="30">
                  <c:v>4840</c:v>
                </c:pt>
                <c:pt idx="31">
                  <c:v>4840</c:v>
                </c:pt>
                <c:pt idx="32">
                  <c:v>4840</c:v>
                </c:pt>
                <c:pt idx="33">
                  <c:v>4840</c:v>
                </c:pt>
                <c:pt idx="34">
                  <c:v>4840</c:v>
                </c:pt>
                <c:pt idx="35">
                  <c:v>4840</c:v>
                </c:pt>
                <c:pt idx="36">
                  <c:v>4840</c:v>
                </c:pt>
                <c:pt idx="37">
                  <c:v>4840</c:v>
                </c:pt>
                <c:pt idx="38">
                  <c:v>4840</c:v>
                </c:pt>
                <c:pt idx="39">
                  <c:v>4840</c:v>
                </c:pt>
                <c:pt idx="40">
                  <c:v>4840</c:v>
                </c:pt>
                <c:pt idx="41">
                  <c:v>4840</c:v>
                </c:pt>
                <c:pt idx="42">
                  <c:v>4792</c:v>
                </c:pt>
                <c:pt idx="43">
                  <c:v>4687</c:v>
                </c:pt>
                <c:pt idx="44">
                  <c:v>4582</c:v>
                </c:pt>
                <c:pt idx="45">
                  <c:v>4476</c:v>
                </c:pt>
                <c:pt idx="46">
                  <c:v>4371</c:v>
                </c:pt>
                <c:pt idx="47">
                  <c:v>4266</c:v>
                </c:pt>
                <c:pt idx="48">
                  <c:v>4160</c:v>
                </c:pt>
                <c:pt idx="49">
                  <c:v>4055</c:v>
                </c:pt>
                <c:pt idx="50">
                  <c:v>3950</c:v>
                </c:pt>
                <c:pt idx="51">
                  <c:v>3845</c:v>
                </c:pt>
                <c:pt idx="52">
                  <c:v>3739</c:v>
                </c:pt>
                <c:pt idx="53">
                  <c:v>3634</c:v>
                </c:pt>
                <c:pt idx="54">
                  <c:v>3630</c:v>
                </c:pt>
                <c:pt idx="55">
                  <c:v>3630</c:v>
                </c:pt>
                <c:pt idx="56">
                  <c:v>3630</c:v>
                </c:pt>
                <c:pt idx="57">
                  <c:v>3630</c:v>
                </c:pt>
                <c:pt idx="58">
                  <c:v>3630</c:v>
                </c:pt>
                <c:pt idx="59">
                  <c:v>3630</c:v>
                </c:pt>
                <c:pt idx="60">
                  <c:v>3630</c:v>
                </c:pt>
                <c:pt idx="61">
                  <c:v>3630</c:v>
                </c:pt>
                <c:pt idx="62">
                  <c:v>3630</c:v>
                </c:pt>
                <c:pt idx="63">
                  <c:v>3630</c:v>
                </c:pt>
                <c:pt idx="64">
                  <c:v>3630</c:v>
                </c:pt>
                <c:pt idx="65">
                  <c:v>3630</c:v>
                </c:pt>
              </c:numCache>
            </c:numRef>
          </c:val>
          <c:smooth val="0"/>
        </c:ser>
        <c:ser>
          <c:idx val="1"/>
          <c:order val="4"/>
          <c:tx>
            <c:strRef>
              <c:f>'UK comps annual figs (int adj)'!$U$78</c:f>
              <c:strCache>
                <c:ptCount val="1"/>
                <c:pt idx="0">
                  <c:v>Scotland: 2012-13</c:v>
                </c:pt>
              </c:strCache>
            </c:strRef>
          </c:tx>
          <c:spPr>
            <a:ln w="9525">
              <a:solidFill>
                <a:srgbClr val="F70D13"/>
              </a:solidFill>
              <a:prstDash val="dashDot"/>
            </a:ln>
          </c:spPr>
          <c:marker>
            <c:symbol val="none"/>
          </c:marker>
          <c:val>
            <c:numRef>
              <c:f>'UK comps annual figs (int adj)'!$U$81:$U$146</c:f>
              <c:numCache>
                <c:formatCode>0</c:formatCode>
                <c:ptCount val="66"/>
                <c:pt idx="0" formatCode="General">
                  <c:v>6380</c:v>
                </c:pt>
                <c:pt idx="1">
                  <c:v>6380</c:v>
                </c:pt>
                <c:pt idx="2">
                  <c:v>6380</c:v>
                </c:pt>
                <c:pt idx="3">
                  <c:v>6380</c:v>
                </c:pt>
                <c:pt idx="4">
                  <c:v>6380</c:v>
                </c:pt>
                <c:pt idx="5">
                  <c:v>6380</c:v>
                </c:pt>
                <c:pt idx="6">
                  <c:v>6380</c:v>
                </c:pt>
                <c:pt idx="7">
                  <c:v>6380</c:v>
                </c:pt>
                <c:pt idx="8">
                  <c:v>6380</c:v>
                </c:pt>
                <c:pt idx="9">
                  <c:v>6380</c:v>
                </c:pt>
                <c:pt idx="10">
                  <c:v>6380</c:v>
                </c:pt>
                <c:pt idx="11">
                  <c:v>6380</c:v>
                </c:pt>
                <c:pt idx="12">
                  <c:v>6380</c:v>
                </c:pt>
                <c:pt idx="13">
                  <c:v>6380</c:v>
                </c:pt>
                <c:pt idx="14">
                  <c:v>6380</c:v>
                </c:pt>
                <c:pt idx="15">
                  <c:v>6380</c:v>
                </c:pt>
                <c:pt idx="16">
                  <c:v>6380</c:v>
                </c:pt>
                <c:pt idx="17">
                  <c:v>6380</c:v>
                </c:pt>
                <c:pt idx="18">
                  <c:v>6380</c:v>
                </c:pt>
                <c:pt idx="19">
                  <c:v>6380</c:v>
                </c:pt>
                <c:pt idx="20">
                  <c:v>6073</c:v>
                </c:pt>
                <c:pt idx="21">
                  <c:v>5770</c:v>
                </c:pt>
                <c:pt idx="22">
                  <c:v>5570</c:v>
                </c:pt>
                <c:pt idx="23">
                  <c:v>5570</c:v>
                </c:pt>
                <c:pt idx="24">
                  <c:v>5570</c:v>
                </c:pt>
                <c:pt idx="25">
                  <c:v>5444</c:v>
                </c:pt>
                <c:pt idx="26">
                  <c:v>5333</c:v>
                </c:pt>
                <c:pt idx="27">
                  <c:v>5222</c:v>
                </c:pt>
                <c:pt idx="28">
                  <c:v>5111</c:v>
                </c:pt>
                <c:pt idx="29">
                  <c:v>5000</c:v>
                </c:pt>
                <c:pt idx="30">
                  <c:v>4889</c:v>
                </c:pt>
                <c:pt idx="31">
                  <c:v>4778</c:v>
                </c:pt>
                <c:pt idx="32">
                  <c:v>4667</c:v>
                </c:pt>
                <c:pt idx="33">
                  <c:v>4556</c:v>
                </c:pt>
                <c:pt idx="34">
                  <c:v>4444</c:v>
                </c:pt>
                <c:pt idx="35">
                  <c:v>4333</c:v>
                </c:pt>
                <c:pt idx="36">
                  <c:v>4222</c:v>
                </c:pt>
                <c:pt idx="37">
                  <c:v>4111</c:v>
                </c:pt>
                <c:pt idx="38">
                  <c:v>4000</c:v>
                </c:pt>
                <c:pt idx="39">
                  <c:v>3889</c:v>
                </c:pt>
                <c:pt idx="40">
                  <c:v>3778</c:v>
                </c:pt>
                <c:pt idx="41">
                  <c:v>3667</c:v>
                </c:pt>
                <c:pt idx="42">
                  <c:v>3556</c:v>
                </c:pt>
                <c:pt idx="43">
                  <c:v>3444</c:v>
                </c:pt>
                <c:pt idx="44">
                  <c:v>3333</c:v>
                </c:pt>
                <c:pt idx="45">
                  <c:v>3222</c:v>
                </c:pt>
                <c:pt idx="46">
                  <c:v>3111</c:v>
                </c:pt>
                <c:pt idx="47">
                  <c:v>3000</c:v>
                </c:pt>
                <c:pt idx="48">
                  <c:v>2889</c:v>
                </c:pt>
                <c:pt idx="49">
                  <c:v>2778</c:v>
                </c:pt>
                <c:pt idx="50">
                  <c:v>2667</c:v>
                </c:pt>
                <c:pt idx="51">
                  <c:v>2554</c:v>
                </c:pt>
                <c:pt idx="52">
                  <c:v>2400</c:v>
                </c:pt>
                <c:pt idx="53">
                  <c:v>2246</c:v>
                </c:pt>
                <c:pt idx="54">
                  <c:v>2093</c:v>
                </c:pt>
                <c:pt idx="55">
                  <c:v>1939</c:v>
                </c:pt>
                <c:pt idx="56">
                  <c:v>1785</c:v>
                </c:pt>
                <c:pt idx="57">
                  <c:v>1631</c:v>
                </c:pt>
                <c:pt idx="58">
                  <c:v>1477</c:v>
                </c:pt>
                <c:pt idx="59">
                  <c:v>1323</c:v>
                </c:pt>
                <c:pt idx="60">
                  <c:v>1170</c:v>
                </c:pt>
                <c:pt idx="61">
                  <c:v>1016</c:v>
                </c:pt>
                <c:pt idx="62">
                  <c:v>940</c:v>
                </c:pt>
                <c:pt idx="63">
                  <c:v>940</c:v>
                </c:pt>
                <c:pt idx="64">
                  <c:v>940</c:v>
                </c:pt>
                <c:pt idx="65">
                  <c:v>940</c:v>
                </c:pt>
              </c:numCache>
            </c:numRef>
          </c:val>
          <c:smooth val="0"/>
        </c:ser>
        <c:dLbls>
          <c:showLegendKey val="0"/>
          <c:showVal val="0"/>
          <c:showCatName val="0"/>
          <c:showSerName val="0"/>
          <c:showPercent val="0"/>
          <c:showBubbleSize val="0"/>
        </c:dLbls>
        <c:marker val="1"/>
        <c:smooth val="0"/>
        <c:axId val="157096576"/>
        <c:axId val="132797184"/>
      </c:lineChart>
      <c:catAx>
        <c:axId val="157096576"/>
        <c:scaling>
          <c:orientation val="minMax"/>
        </c:scaling>
        <c:delete val="0"/>
        <c:axPos val="b"/>
        <c:majorGridlines>
          <c:spPr>
            <a:ln>
              <a:solidFill>
                <a:schemeClr val="bg1">
                  <a:lumMod val="95000"/>
                </a:schemeClr>
              </a:solidFill>
            </a:ln>
          </c:spPr>
        </c:majorGridlines>
        <c:title>
          <c:tx>
            <c:rich>
              <a:bodyPr/>
              <a:lstStyle/>
              <a:p>
                <a:pPr>
                  <a:defRPr/>
                </a:pPr>
                <a:r>
                  <a:rPr lang="en-US"/>
                  <a:t>£ household income</a:t>
                </a:r>
              </a:p>
            </c:rich>
          </c:tx>
          <c:overlay val="0"/>
        </c:title>
        <c:numFmt formatCode="General" sourceLinked="1"/>
        <c:majorTickMark val="out"/>
        <c:minorTickMark val="none"/>
        <c:tickLblPos val="nextTo"/>
        <c:txPr>
          <a:bodyPr rot="-5400000" vert="horz"/>
          <a:lstStyle/>
          <a:p>
            <a:pPr>
              <a:defRPr/>
            </a:pPr>
            <a:endParaRPr lang="en-US"/>
          </a:p>
        </c:txPr>
        <c:crossAx val="132797184"/>
        <c:crosses val="autoZero"/>
        <c:auto val="1"/>
        <c:lblAlgn val="ctr"/>
        <c:lblOffset val="100"/>
        <c:tickLblSkip val="5"/>
        <c:tickMarkSkip val="5"/>
        <c:noMultiLvlLbl val="0"/>
      </c:catAx>
      <c:valAx>
        <c:axId val="132797184"/>
        <c:scaling>
          <c:orientation val="minMax"/>
        </c:scaling>
        <c:delete val="0"/>
        <c:axPos val="l"/>
        <c:majorGridlines>
          <c:spPr>
            <a:ln>
              <a:solidFill>
                <a:schemeClr val="bg1">
                  <a:lumMod val="85000"/>
                </a:schemeClr>
              </a:solidFill>
            </a:ln>
          </c:spPr>
        </c:majorGridlines>
        <c:title>
          <c:tx>
            <c:rich>
              <a:bodyPr rot="-5400000" vert="horz"/>
              <a:lstStyle/>
              <a:p>
                <a:pPr>
                  <a:defRPr/>
                </a:pPr>
                <a:r>
                  <a:rPr lang="en-US"/>
                  <a:t>£ support</a:t>
                </a:r>
              </a:p>
            </c:rich>
          </c:tx>
          <c:overlay val="0"/>
        </c:title>
        <c:numFmt formatCode="General" sourceLinked="1"/>
        <c:majorTickMark val="out"/>
        <c:minorTickMark val="none"/>
        <c:tickLblPos val="nextTo"/>
        <c:crossAx val="157096576"/>
        <c:crossesAt val="1"/>
        <c:crossBetween val="between"/>
      </c:valAx>
    </c:plotArea>
    <c:legend>
      <c:legendPos val="t"/>
      <c:layout>
        <c:manualLayout>
          <c:xMode val="edge"/>
          <c:yMode val="edge"/>
          <c:x val="5.969692060097425E-2"/>
          <c:y val="2.2284122562674095E-2"/>
          <c:w val="0.90804078502532859"/>
          <c:h val="0.24109402759195492"/>
        </c:manualLayout>
      </c:layout>
      <c:overlay val="0"/>
      <c:spPr>
        <a:ln>
          <a:solidFill>
            <a:schemeClr val="accent1"/>
          </a:solidFill>
        </a:ln>
      </c:sp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200"/>
              <a:t>Average loan per head (active borowers only)</a:t>
            </a:r>
          </a:p>
        </c:rich>
      </c:tx>
      <c:overlay val="0"/>
    </c:title>
    <c:autoTitleDeleted val="0"/>
    <c:plotArea>
      <c:layout/>
      <c:lineChart>
        <c:grouping val="standard"/>
        <c:varyColors val="0"/>
        <c:ser>
          <c:idx val="2"/>
          <c:order val="0"/>
          <c:tx>
            <c:strRef>
              <c:f>'Comps total debt'!$P$7:$P$8</c:f>
              <c:strCache>
                <c:ptCount val="1"/>
                <c:pt idx="0">
                  <c:v>Wales</c:v>
                </c:pt>
              </c:strCache>
            </c:strRef>
          </c:tx>
          <c:spPr>
            <a:ln>
              <a:solidFill>
                <a:srgbClr val="00FF00"/>
              </a:solidFill>
            </a:ln>
          </c:spPr>
          <c:marker>
            <c:symbol val="none"/>
          </c:marker>
          <c:cat>
            <c:strRef>
              <c:f>'Comps total debt'!$M$9:$M$20</c:f>
              <c:strCache>
                <c:ptCount val="12"/>
                <c:pt idx="0">
                  <c:v>Exempt from Parental/Spousal Contribution</c:v>
                </c:pt>
                <c:pt idx="1">
                  <c:v>&lt; £10k</c:v>
                </c:pt>
                <c:pt idx="2">
                  <c:v>£10,000 - £19,999</c:v>
                </c:pt>
                <c:pt idx="3">
                  <c:v>£20,000 - £29,999</c:v>
                </c:pt>
                <c:pt idx="4">
                  <c:v>£30,000 - £39,999</c:v>
                </c:pt>
                <c:pt idx="5">
                  <c:v>£40,000 - £49,999</c:v>
                </c:pt>
                <c:pt idx="6">
                  <c:v>£50,000 - £59,999</c:v>
                </c:pt>
                <c:pt idx="7">
                  <c:v>£60,000 - £69,999</c:v>
                </c:pt>
                <c:pt idx="8">
                  <c:v>£70,000 - £79,999</c:v>
                </c:pt>
                <c:pt idx="9">
                  <c:v>£80,000 - £99,998</c:v>
                </c:pt>
                <c:pt idx="10">
                  <c:v>£99,999 and above</c:v>
                </c:pt>
                <c:pt idx="11">
                  <c:v>Income not declared/required</c:v>
                </c:pt>
              </c:strCache>
            </c:strRef>
          </c:cat>
          <c:val>
            <c:numRef>
              <c:f>'Comps total debt'!$P$9:$P$20</c:f>
              <c:numCache>
                <c:formatCode>General</c:formatCode>
                <c:ptCount val="12"/>
                <c:pt idx="0">
                  <c:v>5720</c:v>
                </c:pt>
                <c:pt idx="1">
                  <c:v>5120</c:v>
                </c:pt>
                <c:pt idx="2">
                  <c:v>5140</c:v>
                </c:pt>
                <c:pt idx="3">
                  <c:v>5760</c:v>
                </c:pt>
                <c:pt idx="4">
                  <c:v>6960</c:v>
                </c:pt>
                <c:pt idx="5">
                  <c:v>7470</c:v>
                </c:pt>
                <c:pt idx="6">
                  <c:v>7250</c:v>
                </c:pt>
                <c:pt idx="7">
                  <c:v>6810</c:v>
                </c:pt>
                <c:pt idx="8">
                  <c:v>6750</c:v>
                </c:pt>
                <c:pt idx="9">
                  <c:v>6840</c:v>
                </c:pt>
                <c:pt idx="10">
                  <c:v>6880</c:v>
                </c:pt>
                <c:pt idx="11">
                  <c:v>6350</c:v>
                </c:pt>
              </c:numCache>
            </c:numRef>
          </c:val>
          <c:smooth val="0"/>
        </c:ser>
        <c:ser>
          <c:idx val="3"/>
          <c:order val="1"/>
          <c:tx>
            <c:strRef>
              <c:f>'Comps total debt'!$Q$7:$Q$8</c:f>
              <c:strCache>
                <c:ptCount val="1"/>
                <c:pt idx="0">
                  <c:v>NI</c:v>
                </c:pt>
              </c:strCache>
            </c:strRef>
          </c:tx>
          <c:spPr>
            <a:ln>
              <a:solidFill>
                <a:schemeClr val="accent4">
                  <a:lumMod val="60000"/>
                  <a:lumOff val="40000"/>
                </a:schemeClr>
              </a:solidFill>
            </a:ln>
          </c:spPr>
          <c:marker>
            <c:symbol val="none"/>
          </c:marker>
          <c:cat>
            <c:strRef>
              <c:f>'Comps total debt'!$M$9:$M$20</c:f>
              <c:strCache>
                <c:ptCount val="12"/>
                <c:pt idx="0">
                  <c:v>Exempt from Parental/Spousal Contribution</c:v>
                </c:pt>
                <c:pt idx="1">
                  <c:v>&lt; £10k</c:v>
                </c:pt>
                <c:pt idx="2">
                  <c:v>£10,000 - £19,999</c:v>
                </c:pt>
                <c:pt idx="3">
                  <c:v>£20,000 - £29,999</c:v>
                </c:pt>
                <c:pt idx="4">
                  <c:v>£30,000 - £39,999</c:v>
                </c:pt>
                <c:pt idx="5">
                  <c:v>£40,000 - £49,999</c:v>
                </c:pt>
                <c:pt idx="6">
                  <c:v>£50,000 - £59,999</c:v>
                </c:pt>
                <c:pt idx="7">
                  <c:v>£60,000 - £69,999</c:v>
                </c:pt>
                <c:pt idx="8">
                  <c:v>£70,000 - £79,999</c:v>
                </c:pt>
                <c:pt idx="9">
                  <c:v>£80,000 - £99,998</c:v>
                </c:pt>
                <c:pt idx="10">
                  <c:v>£99,999 and above</c:v>
                </c:pt>
                <c:pt idx="11">
                  <c:v>Income not declared/required</c:v>
                </c:pt>
              </c:strCache>
            </c:strRef>
          </c:cat>
          <c:val>
            <c:numRef>
              <c:f>'Comps total debt'!$Q$9:$Q$20</c:f>
              <c:numCache>
                <c:formatCode>General</c:formatCode>
                <c:ptCount val="12"/>
                <c:pt idx="0">
                  <c:v>6520</c:v>
                </c:pt>
                <c:pt idx="1">
                  <c:v>6080</c:v>
                </c:pt>
                <c:pt idx="2">
                  <c:v>6080</c:v>
                </c:pt>
                <c:pt idx="3">
                  <c:v>6430</c:v>
                </c:pt>
                <c:pt idx="4">
                  <c:v>7290</c:v>
                </c:pt>
                <c:pt idx="5">
                  <c:v>7740</c:v>
                </c:pt>
                <c:pt idx="6">
                  <c:v>7240</c:v>
                </c:pt>
                <c:pt idx="7">
                  <c:v>7170</c:v>
                </c:pt>
                <c:pt idx="8">
                  <c:v>7430</c:v>
                </c:pt>
                <c:pt idx="9">
                  <c:v>7880</c:v>
                </c:pt>
                <c:pt idx="10">
                  <c:v>7880</c:v>
                </c:pt>
                <c:pt idx="11">
                  <c:v>6400</c:v>
                </c:pt>
              </c:numCache>
            </c:numRef>
          </c:val>
          <c:smooth val="0"/>
        </c:ser>
        <c:ser>
          <c:idx val="1"/>
          <c:order val="2"/>
          <c:tx>
            <c:strRef>
              <c:f>'Comps total debt'!$O$7:$O$8</c:f>
              <c:strCache>
                <c:ptCount val="1"/>
                <c:pt idx="0">
                  <c:v>England</c:v>
                </c:pt>
              </c:strCache>
            </c:strRef>
          </c:tx>
          <c:spPr>
            <a:ln>
              <a:solidFill>
                <a:srgbClr val="FFC000"/>
              </a:solidFill>
            </a:ln>
          </c:spPr>
          <c:marker>
            <c:symbol val="none"/>
          </c:marker>
          <c:cat>
            <c:strRef>
              <c:f>'Comps total debt'!$M$9:$M$20</c:f>
              <c:strCache>
                <c:ptCount val="12"/>
                <c:pt idx="0">
                  <c:v>Exempt from Parental/Spousal Contribution</c:v>
                </c:pt>
                <c:pt idx="1">
                  <c:v>&lt; £10k</c:v>
                </c:pt>
                <c:pt idx="2">
                  <c:v>£10,000 - £19,999</c:v>
                </c:pt>
                <c:pt idx="3">
                  <c:v>£20,000 - £29,999</c:v>
                </c:pt>
                <c:pt idx="4">
                  <c:v>£30,000 - £39,999</c:v>
                </c:pt>
                <c:pt idx="5">
                  <c:v>£40,000 - £49,999</c:v>
                </c:pt>
                <c:pt idx="6">
                  <c:v>£50,000 - £59,999</c:v>
                </c:pt>
                <c:pt idx="7">
                  <c:v>£60,000 - £69,999</c:v>
                </c:pt>
                <c:pt idx="8">
                  <c:v>£70,000 - £79,999</c:v>
                </c:pt>
                <c:pt idx="9">
                  <c:v>£80,000 - £99,998</c:v>
                </c:pt>
                <c:pt idx="10">
                  <c:v>£99,999 and above</c:v>
                </c:pt>
                <c:pt idx="11">
                  <c:v>Income not declared/required</c:v>
                </c:pt>
              </c:strCache>
            </c:strRef>
          </c:cat>
          <c:val>
            <c:numRef>
              <c:f>'Comps total debt'!$O$9:$O$20</c:f>
              <c:numCache>
                <c:formatCode>General</c:formatCode>
                <c:ptCount val="12"/>
                <c:pt idx="0">
                  <c:v>9050</c:v>
                </c:pt>
                <c:pt idx="1">
                  <c:v>8290</c:v>
                </c:pt>
                <c:pt idx="2">
                  <c:v>8270</c:v>
                </c:pt>
                <c:pt idx="3">
                  <c:v>8400</c:v>
                </c:pt>
                <c:pt idx="4">
                  <c:v>9240</c:v>
                </c:pt>
                <c:pt idx="5">
                  <c:v>9610</c:v>
                </c:pt>
                <c:pt idx="6">
                  <c:v>9500</c:v>
                </c:pt>
                <c:pt idx="7">
                  <c:v>9230</c:v>
                </c:pt>
                <c:pt idx="8">
                  <c:v>9290</c:v>
                </c:pt>
                <c:pt idx="9">
                  <c:v>9480</c:v>
                </c:pt>
                <c:pt idx="10">
                  <c:v>9730</c:v>
                </c:pt>
                <c:pt idx="11">
                  <c:v>7990</c:v>
                </c:pt>
              </c:numCache>
            </c:numRef>
          </c:val>
          <c:smooth val="0"/>
        </c:ser>
        <c:dLbls>
          <c:showLegendKey val="0"/>
          <c:showVal val="0"/>
          <c:showCatName val="0"/>
          <c:showSerName val="0"/>
          <c:showPercent val="0"/>
          <c:showBubbleSize val="0"/>
        </c:dLbls>
        <c:marker val="1"/>
        <c:smooth val="0"/>
        <c:axId val="156543232"/>
        <c:axId val="156545408"/>
      </c:lineChart>
      <c:catAx>
        <c:axId val="156543232"/>
        <c:scaling>
          <c:orientation val="minMax"/>
        </c:scaling>
        <c:delete val="0"/>
        <c:axPos val="b"/>
        <c:title>
          <c:tx>
            <c:rich>
              <a:bodyPr/>
              <a:lstStyle/>
              <a:p>
                <a:pPr>
                  <a:defRPr/>
                </a:pPr>
                <a:r>
                  <a:rPr lang="en-GB"/>
                  <a:t>Household income</a:t>
                </a:r>
                <a:r>
                  <a:rPr lang="en-GB" baseline="0"/>
                  <a:t> as declared and assessed</a:t>
                </a:r>
                <a:endParaRPr lang="en-GB"/>
              </a:p>
            </c:rich>
          </c:tx>
          <c:overlay val="0"/>
        </c:title>
        <c:majorTickMark val="out"/>
        <c:minorTickMark val="none"/>
        <c:tickLblPos val="nextTo"/>
        <c:crossAx val="156545408"/>
        <c:crosses val="autoZero"/>
        <c:auto val="1"/>
        <c:lblAlgn val="ctr"/>
        <c:lblOffset val="100"/>
        <c:noMultiLvlLbl val="0"/>
      </c:catAx>
      <c:valAx>
        <c:axId val="156545408"/>
        <c:scaling>
          <c:orientation val="minMax"/>
        </c:scaling>
        <c:delete val="0"/>
        <c:axPos val="l"/>
        <c:majorGridlines/>
        <c:title>
          <c:tx>
            <c:rich>
              <a:bodyPr rot="-5400000" vert="horz"/>
              <a:lstStyle/>
              <a:p>
                <a:pPr>
                  <a:defRPr/>
                </a:pPr>
                <a:r>
                  <a:rPr lang="en-GB"/>
                  <a:t>£ average loan</a:t>
                </a:r>
              </a:p>
              <a:p>
                <a:pPr>
                  <a:defRPr/>
                </a:pPr>
                <a:endParaRPr lang="en-GB"/>
              </a:p>
            </c:rich>
          </c:tx>
          <c:overlay val="0"/>
        </c:title>
        <c:numFmt formatCode="General" sourceLinked="1"/>
        <c:majorTickMark val="out"/>
        <c:minorTickMark val="none"/>
        <c:tickLblPos val="nextTo"/>
        <c:crossAx val="156543232"/>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239961659404793E-2"/>
          <c:y val="0.21676493604526348"/>
          <c:w val="0.8952870599989452"/>
          <c:h val="0.6629609758516114"/>
        </c:manualLayout>
      </c:layout>
      <c:lineChart>
        <c:grouping val="standard"/>
        <c:varyColors val="0"/>
        <c:ser>
          <c:idx val="0"/>
          <c:order val="0"/>
          <c:tx>
            <c:strRef>
              <c:f>'UK comps annual figs'!$D$6</c:f>
              <c:strCache>
                <c:ptCount val="1"/>
                <c:pt idx="0">
                  <c:v>Scot: Young</c:v>
                </c:pt>
              </c:strCache>
            </c:strRef>
          </c:tx>
          <c:spPr>
            <a:ln>
              <a:solidFill>
                <a:srgbClr val="FF0000"/>
              </a:solidFill>
            </a:ln>
          </c:spPr>
          <c:marker>
            <c:symbol val="none"/>
          </c:marker>
          <c:cat>
            <c:strRef>
              <c:f>'UK comps annual figs'!$B$7:$C$61</c:f>
              <c:strCache>
                <c:ptCount val="55"/>
                <c:pt idx="3">
                  <c:v>1000</c:v>
                </c:pt>
                <c:pt idx="4">
                  <c:v>2000</c:v>
                </c:pt>
                <c:pt idx="5">
                  <c:v>3000</c:v>
                </c:pt>
                <c:pt idx="6">
                  <c:v>4000</c:v>
                </c:pt>
                <c:pt idx="7">
                  <c:v>5000</c:v>
                </c:pt>
                <c:pt idx="8">
                  <c:v>6000</c:v>
                </c:pt>
                <c:pt idx="9">
                  <c:v>7000</c:v>
                </c:pt>
                <c:pt idx="10">
                  <c:v>8000</c:v>
                </c:pt>
                <c:pt idx="11">
                  <c:v>9000</c:v>
                </c:pt>
                <c:pt idx="12">
                  <c:v>10000</c:v>
                </c:pt>
                <c:pt idx="13">
                  <c:v>11000</c:v>
                </c:pt>
                <c:pt idx="14">
                  <c:v>12000</c:v>
                </c:pt>
                <c:pt idx="15">
                  <c:v>13000</c:v>
                </c:pt>
                <c:pt idx="16">
                  <c:v>14000</c:v>
                </c:pt>
                <c:pt idx="17">
                  <c:v>15000</c:v>
                </c:pt>
                <c:pt idx="18">
                  <c:v>16000</c:v>
                </c:pt>
                <c:pt idx="19">
                  <c:v>17000</c:v>
                </c:pt>
                <c:pt idx="20">
                  <c:v>18000</c:v>
                </c:pt>
                <c:pt idx="21">
                  <c:v>19000</c:v>
                </c:pt>
                <c:pt idx="22">
                  <c:v>20000</c:v>
                </c:pt>
                <c:pt idx="23">
                  <c:v>21000</c:v>
                </c:pt>
                <c:pt idx="24">
                  <c:v>22000</c:v>
                </c:pt>
                <c:pt idx="25">
                  <c:v>23000</c:v>
                </c:pt>
                <c:pt idx="26">
                  <c:v>24000</c:v>
                </c:pt>
                <c:pt idx="27">
                  <c:v>25000</c:v>
                </c:pt>
                <c:pt idx="28">
                  <c:v>26000</c:v>
                </c:pt>
                <c:pt idx="29">
                  <c:v>27000</c:v>
                </c:pt>
                <c:pt idx="30">
                  <c:v>28000</c:v>
                </c:pt>
                <c:pt idx="31">
                  <c:v>29000</c:v>
                </c:pt>
                <c:pt idx="32">
                  <c:v>30000</c:v>
                </c:pt>
                <c:pt idx="33">
                  <c:v>31000</c:v>
                </c:pt>
                <c:pt idx="34">
                  <c:v>32000</c:v>
                </c:pt>
                <c:pt idx="35">
                  <c:v>33000</c:v>
                </c:pt>
                <c:pt idx="36">
                  <c:v>34000</c:v>
                </c:pt>
                <c:pt idx="37">
                  <c:v>35000</c:v>
                </c:pt>
                <c:pt idx="38">
                  <c:v>36000</c:v>
                </c:pt>
                <c:pt idx="39">
                  <c:v>37000</c:v>
                </c:pt>
                <c:pt idx="40">
                  <c:v>38000</c:v>
                </c:pt>
                <c:pt idx="41">
                  <c:v>39000</c:v>
                </c:pt>
                <c:pt idx="42">
                  <c:v>40000</c:v>
                </c:pt>
                <c:pt idx="43">
                  <c:v>41000</c:v>
                </c:pt>
                <c:pt idx="44">
                  <c:v>42000</c:v>
                </c:pt>
                <c:pt idx="45">
                  <c:v>43000</c:v>
                </c:pt>
                <c:pt idx="46">
                  <c:v>44000</c:v>
                </c:pt>
                <c:pt idx="47">
                  <c:v>45000</c:v>
                </c:pt>
                <c:pt idx="48">
                  <c:v>46000</c:v>
                </c:pt>
                <c:pt idx="49">
                  <c:v>47000</c:v>
                </c:pt>
                <c:pt idx="50">
                  <c:v>48000</c:v>
                </c:pt>
                <c:pt idx="51">
                  <c:v>49000</c:v>
                </c:pt>
                <c:pt idx="52">
                  <c:v>50000</c:v>
                </c:pt>
                <c:pt idx="53">
                  <c:v>51000</c:v>
                </c:pt>
                <c:pt idx="54">
                  <c:v>52000</c:v>
                </c:pt>
              </c:strCache>
            </c:strRef>
          </c:cat>
          <c:val>
            <c:numRef>
              <c:f>'UK comps annual figs'!$D$7:$D$61</c:f>
              <c:numCache>
                <c:formatCode>General</c:formatCode>
                <c:ptCount val="55"/>
                <c:pt idx="0">
                  <c:v>0</c:v>
                </c:pt>
                <c:pt idx="3">
                  <c:v>1750</c:v>
                </c:pt>
                <c:pt idx="4">
                  <c:v>1750</c:v>
                </c:pt>
                <c:pt idx="5">
                  <c:v>1750</c:v>
                </c:pt>
                <c:pt idx="6">
                  <c:v>1750</c:v>
                </c:pt>
                <c:pt idx="7">
                  <c:v>1750</c:v>
                </c:pt>
                <c:pt idx="8">
                  <c:v>1750</c:v>
                </c:pt>
                <c:pt idx="9">
                  <c:v>1750</c:v>
                </c:pt>
                <c:pt idx="10">
                  <c:v>1750</c:v>
                </c:pt>
                <c:pt idx="11">
                  <c:v>1750</c:v>
                </c:pt>
                <c:pt idx="12">
                  <c:v>1750</c:v>
                </c:pt>
                <c:pt idx="13">
                  <c:v>1750</c:v>
                </c:pt>
                <c:pt idx="14">
                  <c:v>1750</c:v>
                </c:pt>
                <c:pt idx="15">
                  <c:v>1750</c:v>
                </c:pt>
                <c:pt idx="16">
                  <c:v>1750</c:v>
                </c:pt>
                <c:pt idx="17">
                  <c:v>1750</c:v>
                </c:pt>
                <c:pt idx="18">
                  <c:v>1750</c:v>
                </c:pt>
                <c:pt idx="19">
                  <c:v>1000</c:v>
                </c:pt>
                <c:pt idx="20">
                  <c:v>1000</c:v>
                </c:pt>
                <c:pt idx="21">
                  <c:v>1000</c:v>
                </c:pt>
                <c:pt idx="22">
                  <c:v>1000</c:v>
                </c:pt>
                <c:pt idx="23">
                  <c:v>1000</c:v>
                </c:pt>
                <c:pt idx="24">
                  <c:v>1000</c:v>
                </c:pt>
                <c:pt idx="25">
                  <c:v>1000</c:v>
                </c:pt>
                <c:pt idx="26">
                  <c:v>500</c:v>
                </c:pt>
                <c:pt idx="27">
                  <c:v>500</c:v>
                </c:pt>
                <c:pt idx="28">
                  <c:v>500</c:v>
                </c:pt>
                <c:pt idx="29">
                  <c:v>500</c:v>
                </c:pt>
                <c:pt idx="30">
                  <c:v>500</c:v>
                </c:pt>
                <c:pt idx="31">
                  <c:v>500</c:v>
                </c:pt>
                <c:pt idx="32">
                  <c:v>500</c:v>
                </c:pt>
                <c:pt idx="33">
                  <c:v>500</c:v>
                </c:pt>
                <c:pt idx="34">
                  <c:v>500</c:v>
                </c:pt>
                <c:pt idx="35">
                  <c:v>500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numCache>
            </c:numRef>
          </c:val>
          <c:smooth val="0"/>
        </c:ser>
        <c:ser>
          <c:idx val="1"/>
          <c:order val="1"/>
          <c:tx>
            <c:strRef>
              <c:f>'UK comps annual figs'!$E$6</c:f>
              <c:strCache>
                <c:ptCount val="1"/>
                <c:pt idx="0">
                  <c:v>Scot: Mature</c:v>
                </c:pt>
              </c:strCache>
            </c:strRef>
          </c:tx>
          <c:spPr>
            <a:ln>
              <a:solidFill>
                <a:srgbClr val="FFC000"/>
              </a:solidFill>
            </a:ln>
          </c:spPr>
          <c:marker>
            <c:symbol val="none"/>
          </c:marker>
          <c:cat>
            <c:strRef>
              <c:f>'UK comps annual figs'!$B$7:$C$61</c:f>
              <c:strCache>
                <c:ptCount val="55"/>
                <c:pt idx="3">
                  <c:v>1000</c:v>
                </c:pt>
                <c:pt idx="4">
                  <c:v>2000</c:v>
                </c:pt>
                <c:pt idx="5">
                  <c:v>3000</c:v>
                </c:pt>
                <c:pt idx="6">
                  <c:v>4000</c:v>
                </c:pt>
                <c:pt idx="7">
                  <c:v>5000</c:v>
                </c:pt>
                <c:pt idx="8">
                  <c:v>6000</c:v>
                </c:pt>
                <c:pt idx="9">
                  <c:v>7000</c:v>
                </c:pt>
                <c:pt idx="10">
                  <c:v>8000</c:v>
                </c:pt>
                <c:pt idx="11">
                  <c:v>9000</c:v>
                </c:pt>
                <c:pt idx="12">
                  <c:v>10000</c:v>
                </c:pt>
                <c:pt idx="13">
                  <c:v>11000</c:v>
                </c:pt>
                <c:pt idx="14">
                  <c:v>12000</c:v>
                </c:pt>
                <c:pt idx="15">
                  <c:v>13000</c:v>
                </c:pt>
                <c:pt idx="16">
                  <c:v>14000</c:v>
                </c:pt>
                <c:pt idx="17">
                  <c:v>15000</c:v>
                </c:pt>
                <c:pt idx="18">
                  <c:v>16000</c:v>
                </c:pt>
                <c:pt idx="19">
                  <c:v>17000</c:v>
                </c:pt>
                <c:pt idx="20">
                  <c:v>18000</c:v>
                </c:pt>
                <c:pt idx="21">
                  <c:v>19000</c:v>
                </c:pt>
                <c:pt idx="22">
                  <c:v>20000</c:v>
                </c:pt>
                <c:pt idx="23">
                  <c:v>21000</c:v>
                </c:pt>
                <c:pt idx="24">
                  <c:v>22000</c:v>
                </c:pt>
                <c:pt idx="25">
                  <c:v>23000</c:v>
                </c:pt>
                <c:pt idx="26">
                  <c:v>24000</c:v>
                </c:pt>
                <c:pt idx="27">
                  <c:v>25000</c:v>
                </c:pt>
                <c:pt idx="28">
                  <c:v>26000</c:v>
                </c:pt>
                <c:pt idx="29">
                  <c:v>27000</c:v>
                </c:pt>
                <c:pt idx="30">
                  <c:v>28000</c:v>
                </c:pt>
                <c:pt idx="31">
                  <c:v>29000</c:v>
                </c:pt>
                <c:pt idx="32">
                  <c:v>30000</c:v>
                </c:pt>
                <c:pt idx="33">
                  <c:v>31000</c:v>
                </c:pt>
                <c:pt idx="34">
                  <c:v>32000</c:v>
                </c:pt>
                <c:pt idx="35">
                  <c:v>33000</c:v>
                </c:pt>
                <c:pt idx="36">
                  <c:v>34000</c:v>
                </c:pt>
                <c:pt idx="37">
                  <c:v>35000</c:v>
                </c:pt>
                <c:pt idx="38">
                  <c:v>36000</c:v>
                </c:pt>
                <c:pt idx="39">
                  <c:v>37000</c:v>
                </c:pt>
                <c:pt idx="40">
                  <c:v>38000</c:v>
                </c:pt>
                <c:pt idx="41">
                  <c:v>39000</c:v>
                </c:pt>
                <c:pt idx="42">
                  <c:v>40000</c:v>
                </c:pt>
                <c:pt idx="43">
                  <c:v>41000</c:v>
                </c:pt>
                <c:pt idx="44">
                  <c:v>42000</c:v>
                </c:pt>
                <c:pt idx="45">
                  <c:v>43000</c:v>
                </c:pt>
                <c:pt idx="46">
                  <c:v>44000</c:v>
                </c:pt>
                <c:pt idx="47">
                  <c:v>45000</c:v>
                </c:pt>
                <c:pt idx="48">
                  <c:v>46000</c:v>
                </c:pt>
                <c:pt idx="49">
                  <c:v>47000</c:v>
                </c:pt>
                <c:pt idx="50">
                  <c:v>48000</c:v>
                </c:pt>
                <c:pt idx="51">
                  <c:v>49000</c:v>
                </c:pt>
                <c:pt idx="52">
                  <c:v>50000</c:v>
                </c:pt>
                <c:pt idx="53">
                  <c:v>51000</c:v>
                </c:pt>
                <c:pt idx="54">
                  <c:v>52000</c:v>
                </c:pt>
              </c:strCache>
            </c:strRef>
          </c:cat>
          <c:val>
            <c:numRef>
              <c:f>'UK comps annual figs'!$E$7:$E$61</c:f>
              <c:numCache>
                <c:formatCode>General</c:formatCode>
                <c:ptCount val="55"/>
                <c:pt idx="0">
                  <c:v>0</c:v>
                </c:pt>
                <c:pt idx="3" formatCode="0">
                  <c:v>750</c:v>
                </c:pt>
                <c:pt idx="4" formatCode="0">
                  <c:v>750</c:v>
                </c:pt>
                <c:pt idx="5" formatCode="0">
                  <c:v>750</c:v>
                </c:pt>
                <c:pt idx="6" formatCode="0">
                  <c:v>750</c:v>
                </c:pt>
                <c:pt idx="7" formatCode="0">
                  <c:v>750</c:v>
                </c:pt>
                <c:pt idx="8" formatCode="0">
                  <c:v>750</c:v>
                </c:pt>
                <c:pt idx="9" formatCode="0">
                  <c:v>750</c:v>
                </c:pt>
                <c:pt idx="10" formatCode="0">
                  <c:v>750</c:v>
                </c:pt>
                <c:pt idx="11" formatCode="0">
                  <c:v>750</c:v>
                </c:pt>
                <c:pt idx="12" formatCode="0">
                  <c:v>750</c:v>
                </c:pt>
                <c:pt idx="13" formatCode="0">
                  <c:v>750</c:v>
                </c:pt>
                <c:pt idx="14" formatCode="0">
                  <c:v>750</c:v>
                </c:pt>
                <c:pt idx="15" formatCode="0">
                  <c:v>750</c:v>
                </c:pt>
                <c:pt idx="16" formatCode="0">
                  <c:v>750</c:v>
                </c:pt>
                <c:pt idx="17" formatCode="0">
                  <c:v>750</c:v>
                </c:pt>
                <c:pt idx="18" formatCode="0">
                  <c:v>750</c:v>
                </c:pt>
                <c:pt idx="19" formatCode="0">
                  <c:v>0</c:v>
                </c:pt>
                <c:pt idx="20" formatCode="0">
                  <c:v>0</c:v>
                </c:pt>
                <c:pt idx="21" formatCode="0">
                  <c:v>0</c:v>
                </c:pt>
                <c:pt idx="22" formatCode="0">
                  <c:v>0</c:v>
                </c:pt>
                <c:pt idx="23" formatCode="0">
                  <c:v>0</c:v>
                </c:pt>
                <c:pt idx="24" formatCode="0">
                  <c:v>0</c:v>
                </c:pt>
                <c:pt idx="25" formatCode="0">
                  <c:v>0</c:v>
                </c:pt>
                <c:pt idx="26" formatCode="0">
                  <c:v>0</c:v>
                </c:pt>
                <c:pt idx="27" formatCode="0">
                  <c:v>0</c:v>
                </c:pt>
                <c:pt idx="28" formatCode="0">
                  <c:v>0</c:v>
                </c:pt>
                <c:pt idx="29" formatCode="0">
                  <c:v>0</c:v>
                </c:pt>
                <c:pt idx="30" formatCode="0">
                  <c:v>0</c:v>
                </c:pt>
                <c:pt idx="31" formatCode="0">
                  <c:v>0</c:v>
                </c:pt>
                <c:pt idx="32" formatCode="0">
                  <c:v>0</c:v>
                </c:pt>
                <c:pt idx="33" formatCode="0">
                  <c:v>0</c:v>
                </c:pt>
                <c:pt idx="34" formatCode="0">
                  <c:v>0</c:v>
                </c:pt>
                <c:pt idx="35" formatCode="0">
                  <c:v>0</c:v>
                </c:pt>
                <c:pt idx="36" formatCode="0">
                  <c:v>0</c:v>
                </c:pt>
                <c:pt idx="37" formatCode="0">
                  <c:v>0</c:v>
                </c:pt>
                <c:pt idx="38" formatCode="0">
                  <c:v>0</c:v>
                </c:pt>
                <c:pt idx="39" formatCode="0">
                  <c:v>0</c:v>
                </c:pt>
                <c:pt idx="40" formatCode="0">
                  <c:v>0</c:v>
                </c:pt>
                <c:pt idx="41" formatCode="0">
                  <c:v>0</c:v>
                </c:pt>
                <c:pt idx="42" formatCode="0">
                  <c:v>0</c:v>
                </c:pt>
                <c:pt idx="43" formatCode="0">
                  <c:v>0</c:v>
                </c:pt>
                <c:pt idx="44" formatCode="0">
                  <c:v>0</c:v>
                </c:pt>
                <c:pt idx="45" formatCode="0">
                  <c:v>0</c:v>
                </c:pt>
                <c:pt idx="46" formatCode="0">
                  <c:v>0</c:v>
                </c:pt>
                <c:pt idx="47" formatCode="0">
                  <c:v>0</c:v>
                </c:pt>
                <c:pt idx="48" formatCode="0">
                  <c:v>0</c:v>
                </c:pt>
                <c:pt idx="49" formatCode="0">
                  <c:v>0</c:v>
                </c:pt>
                <c:pt idx="50" formatCode="0">
                  <c:v>0</c:v>
                </c:pt>
                <c:pt idx="51" formatCode="0">
                  <c:v>0</c:v>
                </c:pt>
                <c:pt idx="52" formatCode="0">
                  <c:v>0</c:v>
                </c:pt>
                <c:pt idx="53" formatCode="0">
                  <c:v>0</c:v>
                </c:pt>
                <c:pt idx="54" formatCode="0">
                  <c:v>0</c:v>
                </c:pt>
              </c:numCache>
            </c:numRef>
          </c:val>
          <c:smooth val="0"/>
        </c:ser>
        <c:ser>
          <c:idx val="2"/>
          <c:order val="2"/>
          <c:tx>
            <c:strRef>
              <c:f>'UK comps annual figs'!$F$6</c:f>
              <c:strCache>
                <c:ptCount val="1"/>
                <c:pt idx="0">
                  <c:v>England </c:v>
                </c:pt>
              </c:strCache>
            </c:strRef>
          </c:tx>
          <c:spPr>
            <a:ln>
              <a:solidFill>
                <a:schemeClr val="tx2">
                  <a:lumMod val="60000"/>
                  <a:lumOff val="40000"/>
                </a:schemeClr>
              </a:solidFill>
            </a:ln>
          </c:spPr>
          <c:marker>
            <c:symbol val="none"/>
          </c:marker>
          <c:cat>
            <c:strRef>
              <c:f>'UK comps annual figs'!$B$7:$C$61</c:f>
              <c:strCache>
                <c:ptCount val="55"/>
                <c:pt idx="3">
                  <c:v>1000</c:v>
                </c:pt>
                <c:pt idx="4">
                  <c:v>2000</c:v>
                </c:pt>
                <c:pt idx="5">
                  <c:v>3000</c:v>
                </c:pt>
                <c:pt idx="6">
                  <c:v>4000</c:v>
                </c:pt>
                <c:pt idx="7">
                  <c:v>5000</c:v>
                </c:pt>
                <c:pt idx="8">
                  <c:v>6000</c:v>
                </c:pt>
                <c:pt idx="9">
                  <c:v>7000</c:v>
                </c:pt>
                <c:pt idx="10">
                  <c:v>8000</c:v>
                </c:pt>
                <c:pt idx="11">
                  <c:v>9000</c:v>
                </c:pt>
                <c:pt idx="12">
                  <c:v>10000</c:v>
                </c:pt>
                <c:pt idx="13">
                  <c:v>11000</c:v>
                </c:pt>
                <c:pt idx="14">
                  <c:v>12000</c:v>
                </c:pt>
                <c:pt idx="15">
                  <c:v>13000</c:v>
                </c:pt>
                <c:pt idx="16">
                  <c:v>14000</c:v>
                </c:pt>
                <c:pt idx="17">
                  <c:v>15000</c:v>
                </c:pt>
                <c:pt idx="18">
                  <c:v>16000</c:v>
                </c:pt>
                <c:pt idx="19">
                  <c:v>17000</c:v>
                </c:pt>
                <c:pt idx="20">
                  <c:v>18000</c:v>
                </c:pt>
                <c:pt idx="21">
                  <c:v>19000</c:v>
                </c:pt>
                <c:pt idx="22">
                  <c:v>20000</c:v>
                </c:pt>
                <c:pt idx="23">
                  <c:v>21000</c:v>
                </c:pt>
                <c:pt idx="24">
                  <c:v>22000</c:v>
                </c:pt>
                <c:pt idx="25">
                  <c:v>23000</c:v>
                </c:pt>
                <c:pt idx="26">
                  <c:v>24000</c:v>
                </c:pt>
                <c:pt idx="27">
                  <c:v>25000</c:v>
                </c:pt>
                <c:pt idx="28">
                  <c:v>26000</c:v>
                </c:pt>
                <c:pt idx="29">
                  <c:v>27000</c:v>
                </c:pt>
                <c:pt idx="30">
                  <c:v>28000</c:v>
                </c:pt>
                <c:pt idx="31">
                  <c:v>29000</c:v>
                </c:pt>
                <c:pt idx="32">
                  <c:v>30000</c:v>
                </c:pt>
                <c:pt idx="33">
                  <c:v>31000</c:v>
                </c:pt>
                <c:pt idx="34">
                  <c:v>32000</c:v>
                </c:pt>
                <c:pt idx="35">
                  <c:v>33000</c:v>
                </c:pt>
                <c:pt idx="36">
                  <c:v>34000</c:v>
                </c:pt>
                <c:pt idx="37">
                  <c:v>35000</c:v>
                </c:pt>
                <c:pt idx="38">
                  <c:v>36000</c:v>
                </c:pt>
                <c:pt idx="39">
                  <c:v>37000</c:v>
                </c:pt>
                <c:pt idx="40">
                  <c:v>38000</c:v>
                </c:pt>
                <c:pt idx="41">
                  <c:v>39000</c:v>
                </c:pt>
                <c:pt idx="42">
                  <c:v>40000</c:v>
                </c:pt>
                <c:pt idx="43">
                  <c:v>41000</c:v>
                </c:pt>
                <c:pt idx="44">
                  <c:v>42000</c:v>
                </c:pt>
                <c:pt idx="45">
                  <c:v>43000</c:v>
                </c:pt>
                <c:pt idx="46">
                  <c:v>44000</c:v>
                </c:pt>
                <c:pt idx="47">
                  <c:v>45000</c:v>
                </c:pt>
                <c:pt idx="48">
                  <c:v>46000</c:v>
                </c:pt>
                <c:pt idx="49">
                  <c:v>47000</c:v>
                </c:pt>
                <c:pt idx="50">
                  <c:v>48000</c:v>
                </c:pt>
                <c:pt idx="51">
                  <c:v>49000</c:v>
                </c:pt>
                <c:pt idx="52">
                  <c:v>50000</c:v>
                </c:pt>
                <c:pt idx="53">
                  <c:v>51000</c:v>
                </c:pt>
                <c:pt idx="54">
                  <c:v>52000</c:v>
                </c:pt>
              </c:strCache>
            </c:strRef>
          </c:cat>
          <c:val>
            <c:numRef>
              <c:f>'UK comps annual figs'!$F$7:$F$61</c:f>
              <c:numCache>
                <c:formatCode>General</c:formatCode>
                <c:ptCount val="55"/>
                <c:pt idx="0">
                  <c:v>0</c:v>
                </c:pt>
                <c:pt idx="3" formatCode="#,##0">
                  <c:v>3387</c:v>
                </c:pt>
                <c:pt idx="4" formatCode="#,##0">
                  <c:v>3387</c:v>
                </c:pt>
                <c:pt idx="5" formatCode="#,##0">
                  <c:v>3387</c:v>
                </c:pt>
                <c:pt idx="6" formatCode="#,##0">
                  <c:v>3387</c:v>
                </c:pt>
                <c:pt idx="7" formatCode="#,##0">
                  <c:v>3387</c:v>
                </c:pt>
                <c:pt idx="8" formatCode="#,##0">
                  <c:v>3387</c:v>
                </c:pt>
                <c:pt idx="9" formatCode="#,##0">
                  <c:v>3387</c:v>
                </c:pt>
                <c:pt idx="10" formatCode="#,##0">
                  <c:v>3387</c:v>
                </c:pt>
                <c:pt idx="11" formatCode="#,##0">
                  <c:v>3387</c:v>
                </c:pt>
                <c:pt idx="12" formatCode="#,##0">
                  <c:v>3387</c:v>
                </c:pt>
                <c:pt idx="13" formatCode="#,##0">
                  <c:v>3387</c:v>
                </c:pt>
                <c:pt idx="14" formatCode="#,##0">
                  <c:v>3387</c:v>
                </c:pt>
                <c:pt idx="15" formatCode="#,##0">
                  <c:v>3387</c:v>
                </c:pt>
                <c:pt idx="16" formatCode="#,##0">
                  <c:v>3387</c:v>
                </c:pt>
                <c:pt idx="17" formatCode="#,##0">
                  <c:v>3387</c:v>
                </c:pt>
                <c:pt idx="18" formatCode="#,##0">
                  <c:v>3387</c:v>
                </c:pt>
                <c:pt idx="19" formatCode="#,##0">
                  <c:v>3387</c:v>
                </c:pt>
                <c:pt idx="20" formatCode="#,##0">
                  <c:v>3387</c:v>
                </c:pt>
                <c:pt idx="21" formatCode="#,##0">
                  <c:v>3387</c:v>
                </c:pt>
                <c:pt idx="22" formatCode="#,##0">
                  <c:v>3387</c:v>
                </c:pt>
                <c:pt idx="23" formatCode="#,##0">
                  <c:v>3387</c:v>
                </c:pt>
                <c:pt idx="24" formatCode="#,##0">
                  <c:v>3387</c:v>
                </c:pt>
                <c:pt idx="25" formatCode="#,##0">
                  <c:v>3387</c:v>
                </c:pt>
                <c:pt idx="26" formatCode="#,##0">
                  <c:v>3387</c:v>
                </c:pt>
                <c:pt idx="27" formatCode="#,##0">
                  <c:v>3387</c:v>
                </c:pt>
                <c:pt idx="28" formatCode="#,##0">
                  <c:v>3198</c:v>
                </c:pt>
                <c:pt idx="29" formatCode="#,##0">
                  <c:v>3009</c:v>
                </c:pt>
                <c:pt idx="30" formatCode="#,##0">
                  <c:v>2819</c:v>
                </c:pt>
                <c:pt idx="31" formatCode="#,##0">
                  <c:v>2630</c:v>
                </c:pt>
                <c:pt idx="32" formatCode="#,##0">
                  <c:v>2441</c:v>
                </c:pt>
                <c:pt idx="33" formatCode="#,##0">
                  <c:v>2251</c:v>
                </c:pt>
                <c:pt idx="34" formatCode="#,##0">
                  <c:v>2062</c:v>
                </c:pt>
                <c:pt idx="35" formatCode="#,##0">
                  <c:v>1872</c:v>
                </c:pt>
                <c:pt idx="36" formatCode="#,##0">
                  <c:v>1683</c:v>
                </c:pt>
                <c:pt idx="37" formatCode="#,##0">
                  <c:v>1494</c:v>
                </c:pt>
                <c:pt idx="38" formatCode="#,##0">
                  <c:v>1304</c:v>
                </c:pt>
                <c:pt idx="39" formatCode="#,##0">
                  <c:v>1115</c:v>
                </c:pt>
                <c:pt idx="40" formatCode="#,##0">
                  <c:v>925</c:v>
                </c:pt>
                <c:pt idx="41" formatCode="#,##0">
                  <c:v>736</c:v>
                </c:pt>
                <c:pt idx="42" formatCode="#,##0">
                  <c:v>547</c:v>
                </c:pt>
                <c:pt idx="43" formatCode="#,##0">
                  <c:v>357</c:v>
                </c:pt>
                <c:pt idx="44" formatCode="#,##0">
                  <c:v>168</c:v>
                </c:pt>
                <c:pt idx="45" formatCode="#,##0">
                  <c:v>0</c:v>
                </c:pt>
                <c:pt idx="46" formatCode="#,##0">
                  <c:v>0</c:v>
                </c:pt>
                <c:pt idx="47" formatCode="#,##0">
                  <c:v>0</c:v>
                </c:pt>
                <c:pt idx="48" formatCode="#,##0">
                  <c:v>0</c:v>
                </c:pt>
                <c:pt idx="49" formatCode="#,##0">
                  <c:v>0</c:v>
                </c:pt>
                <c:pt idx="50" formatCode="#,##0">
                  <c:v>0</c:v>
                </c:pt>
                <c:pt idx="51" formatCode="#,##0">
                  <c:v>0</c:v>
                </c:pt>
                <c:pt idx="52" formatCode="#,##0">
                  <c:v>0</c:v>
                </c:pt>
                <c:pt idx="53" formatCode="#,##0">
                  <c:v>0</c:v>
                </c:pt>
                <c:pt idx="54" formatCode="#,##0">
                  <c:v>0</c:v>
                </c:pt>
              </c:numCache>
            </c:numRef>
          </c:val>
          <c:smooth val="0"/>
        </c:ser>
        <c:ser>
          <c:idx val="3"/>
          <c:order val="3"/>
          <c:tx>
            <c:strRef>
              <c:f>'UK comps annual figs'!$G$6</c:f>
              <c:strCache>
                <c:ptCount val="1"/>
                <c:pt idx="0">
                  <c:v>Wales</c:v>
                </c:pt>
              </c:strCache>
            </c:strRef>
          </c:tx>
          <c:spPr>
            <a:ln>
              <a:solidFill>
                <a:srgbClr val="00B050"/>
              </a:solidFill>
            </a:ln>
          </c:spPr>
          <c:marker>
            <c:symbol val="none"/>
          </c:marker>
          <c:cat>
            <c:strRef>
              <c:f>'UK comps annual figs'!$B$7:$C$61</c:f>
              <c:strCache>
                <c:ptCount val="55"/>
                <c:pt idx="3">
                  <c:v>1000</c:v>
                </c:pt>
                <c:pt idx="4">
                  <c:v>2000</c:v>
                </c:pt>
                <c:pt idx="5">
                  <c:v>3000</c:v>
                </c:pt>
                <c:pt idx="6">
                  <c:v>4000</c:v>
                </c:pt>
                <c:pt idx="7">
                  <c:v>5000</c:v>
                </c:pt>
                <c:pt idx="8">
                  <c:v>6000</c:v>
                </c:pt>
                <c:pt idx="9">
                  <c:v>7000</c:v>
                </c:pt>
                <c:pt idx="10">
                  <c:v>8000</c:v>
                </c:pt>
                <c:pt idx="11">
                  <c:v>9000</c:v>
                </c:pt>
                <c:pt idx="12">
                  <c:v>10000</c:v>
                </c:pt>
                <c:pt idx="13">
                  <c:v>11000</c:v>
                </c:pt>
                <c:pt idx="14">
                  <c:v>12000</c:v>
                </c:pt>
                <c:pt idx="15">
                  <c:v>13000</c:v>
                </c:pt>
                <c:pt idx="16">
                  <c:v>14000</c:v>
                </c:pt>
                <c:pt idx="17">
                  <c:v>15000</c:v>
                </c:pt>
                <c:pt idx="18">
                  <c:v>16000</c:v>
                </c:pt>
                <c:pt idx="19">
                  <c:v>17000</c:v>
                </c:pt>
                <c:pt idx="20">
                  <c:v>18000</c:v>
                </c:pt>
                <c:pt idx="21">
                  <c:v>19000</c:v>
                </c:pt>
                <c:pt idx="22">
                  <c:v>20000</c:v>
                </c:pt>
                <c:pt idx="23">
                  <c:v>21000</c:v>
                </c:pt>
                <c:pt idx="24">
                  <c:v>22000</c:v>
                </c:pt>
                <c:pt idx="25">
                  <c:v>23000</c:v>
                </c:pt>
                <c:pt idx="26">
                  <c:v>24000</c:v>
                </c:pt>
                <c:pt idx="27">
                  <c:v>25000</c:v>
                </c:pt>
                <c:pt idx="28">
                  <c:v>26000</c:v>
                </c:pt>
                <c:pt idx="29">
                  <c:v>27000</c:v>
                </c:pt>
                <c:pt idx="30">
                  <c:v>28000</c:v>
                </c:pt>
                <c:pt idx="31">
                  <c:v>29000</c:v>
                </c:pt>
                <c:pt idx="32">
                  <c:v>30000</c:v>
                </c:pt>
                <c:pt idx="33">
                  <c:v>31000</c:v>
                </c:pt>
                <c:pt idx="34">
                  <c:v>32000</c:v>
                </c:pt>
                <c:pt idx="35">
                  <c:v>33000</c:v>
                </c:pt>
                <c:pt idx="36">
                  <c:v>34000</c:v>
                </c:pt>
                <c:pt idx="37">
                  <c:v>35000</c:v>
                </c:pt>
                <c:pt idx="38">
                  <c:v>36000</c:v>
                </c:pt>
                <c:pt idx="39">
                  <c:v>37000</c:v>
                </c:pt>
                <c:pt idx="40">
                  <c:v>38000</c:v>
                </c:pt>
                <c:pt idx="41">
                  <c:v>39000</c:v>
                </c:pt>
                <c:pt idx="42">
                  <c:v>40000</c:v>
                </c:pt>
                <c:pt idx="43">
                  <c:v>41000</c:v>
                </c:pt>
                <c:pt idx="44">
                  <c:v>42000</c:v>
                </c:pt>
                <c:pt idx="45">
                  <c:v>43000</c:v>
                </c:pt>
                <c:pt idx="46">
                  <c:v>44000</c:v>
                </c:pt>
                <c:pt idx="47">
                  <c:v>45000</c:v>
                </c:pt>
                <c:pt idx="48">
                  <c:v>46000</c:v>
                </c:pt>
                <c:pt idx="49">
                  <c:v>47000</c:v>
                </c:pt>
                <c:pt idx="50">
                  <c:v>48000</c:v>
                </c:pt>
                <c:pt idx="51">
                  <c:v>49000</c:v>
                </c:pt>
                <c:pt idx="52">
                  <c:v>50000</c:v>
                </c:pt>
                <c:pt idx="53">
                  <c:v>51000</c:v>
                </c:pt>
                <c:pt idx="54">
                  <c:v>52000</c:v>
                </c:pt>
              </c:strCache>
            </c:strRef>
          </c:cat>
          <c:val>
            <c:numRef>
              <c:f>'UK comps annual figs'!$G$7:$G$61</c:f>
              <c:numCache>
                <c:formatCode>General</c:formatCode>
                <c:ptCount val="55"/>
                <c:pt idx="0">
                  <c:v>0</c:v>
                </c:pt>
                <c:pt idx="3">
                  <c:v>5161</c:v>
                </c:pt>
                <c:pt idx="4">
                  <c:v>5161</c:v>
                </c:pt>
                <c:pt idx="5">
                  <c:v>5161</c:v>
                </c:pt>
                <c:pt idx="6">
                  <c:v>5161</c:v>
                </c:pt>
                <c:pt idx="7">
                  <c:v>5161</c:v>
                </c:pt>
                <c:pt idx="8">
                  <c:v>5161</c:v>
                </c:pt>
                <c:pt idx="9">
                  <c:v>5161</c:v>
                </c:pt>
                <c:pt idx="10">
                  <c:v>5161</c:v>
                </c:pt>
                <c:pt idx="11">
                  <c:v>5161</c:v>
                </c:pt>
                <c:pt idx="12">
                  <c:v>5161</c:v>
                </c:pt>
                <c:pt idx="13">
                  <c:v>5161</c:v>
                </c:pt>
                <c:pt idx="14">
                  <c:v>5161</c:v>
                </c:pt>
                <c:pt idx="15">
                  <c:v>5161</c:v>
                </c:pt>
                <c:pt idx="16">
                  <c:v>5161</c:v>
                </c:pt>
                <c:pt idx="17">
                  <c:v>5161</c:v>
                </c:pt>
                <c:pt idx="18">
                  <c:v>5161</c:v>
                </c:pt>
                <c:pt idx="19">
                  <c:v>5161</c:v>
                </c:pt>
                <c:pt idx="20">
                  <c:v>5161</c:v>
                </c:pt>
                <c:pt idx="21">
                  <c:v>4989</c:v>
                </c:pt>
                <c:pt idx="22">
                  <c:v>4715</c:v>
                </c:pt>
                <c:pt idx="23">
                  <c:v>4442</c:v>
                </c:pt>
                <c:pt idx="24">
                  <c:v>4168</c:v>
                </c:pt>
                <c:pt idx="25">
                  <c:v>3894</c:v>
                </c:pt>
                <c:pt idx="26">
                  <c:v>3620</c:v>
                </c:pt>
                <c:pt idx="27">
                  <c:v>3347</c:v>
                </c:pt>
                <c:pt idx="28">
                  <c:v>3073</c:v>
                </c:pt>
                <c:pt idx="29">
                  <c:v>2817</c:v>
                </c:pt>
                <c:pt idx="30">
                  <c:v>2578</c:v>
                </c:pt>
                <c:pt idx="31">
                  <c:v>2338</c:v>
                </c:pt>
                <c:pt idx="32">
                  <c:v>2099</c:v>
                </c:pt>
                <c:pt idx="33">
                  <c:v>1860</c:v>
                </c:pt>
                <c:pt idx="34">
                  <c:v>1621</c:v>
                </c:pt>
                <c:pt idx="35">
                  <c:v>1381</c:v>
                </c:pt>
                <c:pt idx="36">
                  <c:v>1142</c:v>
                </c:pt>
                <c:pt idx="37">
                  <c:v>1074</c:v>
                </c:pt>
                <c:pt idx="38">
                  <c:v>1006</c:v>
                </c:pt>
                <c:pt idx="39">
                  <c:v>938</c:v>
                </c:pt>
                <c:pt idx="40">
                  <c:v>870</c:v>
                </c:pt>
                <c:pt idx="41">
                  <c:v>802</c:v>
                </c:pt>
                <c:pt idx="42">
                  <c:v>733</c:v>
                </c:pt>
                <c:pt idx="43">
                  <c:v>665</c:v>
                </c:pt>
                <c:pt idx="44">
                  <c:v>597</c:v>
                </c:pt>
                <c:pt idx="45">
                  <c:v>529</c:v>
                </c:pt>
                <c:pt idx="46">
                  <c:v>461</c:v>
                </c:pt>
                <c:pt idx="47">
                  <c:v>393</c:v>
                </c:pt>
                <c:pt idx="48">
                  <c:v>324</c:v>
                </c:pt>
                <c:pt idx="49">
                  <c:v>256</c:v>
                </c:pt>
                <c:pt idx="50">
                  <c:v>188</c:v>
                </c:pt>
                <c:pt idx="51">
                  <c:v>120</c:v>
                </c:pt>
                <c:pt idx="52">
                  <c:v>52</c:v>
                </c:pt>
                <c:pt idx="53">
                  <c:v>0</c:v>
                </c:pt>
                <c:pt idx="54">
                  <c:v>0</c:v>
                </c:pt>
              </c:numCache>
            </c:numRef>
          </c:val>
          <c:smooth val="0"/>
        </c:ser>
        <c:ser>
          <c:idx val="4"/>
          <c:order val="4"/>
          <c:tx>
            <c:strRef>
              <c:f>'UK comps annual figs'!$H$6</c:f>
              <c:strCache>
                <c:ptCount val="1"/>
                <c:pt idx="0">
                  <c:v>NI</c:v>
                </c:pt>
              </c:strCache>
            </c:strRef>
          </c:tx>
          <c:spPr>
            <a:ln>
              <a:solidFill>
                <a:schemeClr val="bg2">
                  <a:lumMod val="50000"/>
                </a:schemeClr>
              </a:solidFill>
            </a:ln>
          </c:spPr>
          <c:marker>
            <c:symbol val="none"/>
          </c:marker>
          <c:cat>
            <c:strRef>
              <c:f>'UK comps annual figs'!$B$7:$C$61</c:f>
              <c:strCache>
                <c:ptCount val="55"/>
                <c:pt idx="3">
                  <c:v>1000</c:v>
                </c:pt>
                <c:pt idx="4">
                  <c:v>2000</c:v>
                </c:pt>
                <c:pt idx="5">
                  <c:v>3000</c:v>
                </c:pt>
                <c:pt idx="6">
                  <c:v>4000</c:v>
                </c:pt>
                <c:pt idx="7">
                  <c:v>5000</c:v>
                </c:pt>
                <c:pt idx="8">
                  <c:v>6000</c:v>
                </c:pt>
                <c:pt idx="9">
                  <c:v>7000</c:v>
                </c:pt>
                <c:pt idx="10">
                  <c:v>8000</c:v>
                </c:pt>
                <c:pt idx="11">
                  <c:v>9000</c:v>
                </c:pt>
                <c:pt idx="12">
                  <c:v>10000</c:v>
                </c:pt>
                <c:pt idx="13">
                  <c:v>11000</c:v>
                </c:pt>
                <c:pt idx="14">
                  <c:v>12000</c:v>
                </c:pt>
                <c:pt idx="15">
                  <c:v>13000</c:v>
                </c:pt>
                <c:pt idx="16">
                  <c:v>14000</c:v>
                </c:pt>
                <c:pt idx="17">
                  <c:v>15000</c:v>
                </c:pt>
                <c:pt idx="18">
                  <c:v>16000</c:v>
                </c:pt>
                <c:pt idx="19">
                  <c:v>17000</c:v>
                </c:pt>
                <c:pt idx="20">
                  <c:v>18000</c:v>
                </c:pt>
                <c:pt idx="21">
                  <c:v>19000</c:v>
                </c:pt>
                <c:pt idx="22">
                  <c:v>20000</c:v>
                </c:pt>
                <c:pt idx="23">
                  <c:v>21000</c:v>
                </c:pt>
                <c:pt idx="24">
                  <c:v>22000</c:v>
                </c:pt>
                <c:pt idx="25">
                  <c:v>23000</c:v>
                </c:pt>
                <c:pt idx="26">
                  <c:v>24000</c:v>
                </c:pt>
                <c:pt idx="27">
                  <c:v>25000</c:v>
                </c:pt>
                <c:pt idx="28">
                  <c:v>26000</c:v>
                </c:pt>
                <c:pt idx="29">
                  <c:v>27000</c:v>
                </c:pt>
                <c:pt idx="30">
                  <c:v>28000</c:v>
                </c:pt>
                <c:pt idx="31">
                  <c:v>29000</c:v>
                </c:pt>
                <c:pt idx="32">
                  <c:v>30000</c:v>
                </c:pt>
                <c:pt idx="33">
                  <c:v>31000</c:v>
                </c:pt>
                <c:pt idx="34">
                  <c:v>32000</c:v>
                </c:pt>
                <c:pt idx="35">
                  <c:v>33000</c:v>
                </c:pt>
                <c:pt idx="36">
                  <c:v>34000</c:v>
                </c:pt>
                <c:pt idx="37">
                  <c:v>35000</c:v>
                </c:pt>
                <c:pt idx="38">
                  <c:v>36000</c:v>
                </c:pt>
                <c:pt idx="39">
                  <c:v>37000</c:v>
                </c:pt>
                <c:pt idx="40">
                  <c:v>38000</c:v>
                </c:pt>
                <c:pt idx="41">
                  <c:v>39000</c:v>
                </c:pt>
                <c:pt idx="42">
                  <c:v>40000</c:v>
                </c:pt>
                <c:pt idx="43">
                  <c:v>41000</c:v>
                </c:pt>
                <c:pt idx="44">
                  <c:v>42000</c:v>
                </c:pt>
                <c:pt idx="45">
                  <c:v>43000</c:v>
                </c:pt>
                <c:pt idx="46">
                  <c:v>44000</c:v>
                </c:pt>
                <c:pt idx="47">
                  <c:v>45000</c:v>
                </c:pt>
                <c:pt idx="48">
                  <c:v>46000</c:v>
                </c:pt>
                <c:pt idx="49">
                  <c:v>47000</c:v>
                </c:pt>
                <c:pt idx="50">
                  <c:v>48000</c:v>
                </c:pt>
                <c:pt idx="51">
                  <c:v>49000</c:v>
                </c:pt>
                <c:pt idx="52">
                  <c:v>50000</c:v>
                </c:pt>
                <c:pt idx="53">
                  <c:v>51000</c:v>
                </c:pt>
                <c:pt idx="54">
                  <c:v>52000</c:v>
                </c:pt>
              </c:strCache>
            </c:strRef>
          </c:cat>
          <c:val>
            <c:numRef>
              <c:f>'UK comps annual figs'!$H$7:$H$61</c:f>
              <c:numCache>
                <c:formatCode>General</c:formatCode>
                <c:ptCount val="55"/>
                <c:pt idx="0">
                  <c:v>0</c:v>
                </c:pt>
                <c:pt idx="3">
                  <c:v>3475</c:v>
                </c:pt>
                <c:pt idx="4">
                  <c:v>3475</c:v>
                </c:pt>
                <c:pt idx="5">
                  <c:v>3475</c:v>
                </c:pt>
                <c:pt idx="6">
                  <c:v>3475</c:v>
                </c:pt>
                <c:pt idx="7">
                  <c:v>3475</c:v>
                </c:pt>
                <c:pt idx="8">
                  <c:v>3475</c:v>
                </c:pt>
                <c:pt idx="9">
                  <c:v>3475</c:v>
                </c:pt>
                <c:pt idx="10">
                  <c:v>3475</c:v>
                </c:pt>
                <c:pt idx="11">
                  <c:v>3475</c:v>
                </c:pt>
                <c:pt idx="12">
                  <c:v>3475</c:v>
                </c:pt>
                <c:pt idx="13">
                  <c:v>3475</c:v>
                </c:pt>
                <c:pt idx="14">
                  <c:v>3475</c:v>
                </c:pt>
                <c:pt idx="15">
                  <c:v>3475</c:v>
                </c:pt>
                <c:pt idx="16">
                  <c:v>3475</c:v>
                </c:pt>
                <c:pt idx="17">
                  <c:v>3475</c:v>
                </c:pt>
                <c:pt idx="18">
                  <c:v>3475</c:v>
                </c:pt>
                <c:pt idx="19">
                  <c:v>3475</c:v>
                </c:pt>
                <c:pt idx="20">
                  <c:v>3475</c:v>
                </c:pt>
                <c:pt idx="21">
                  <c:v>3475</c:v>
                </c:pt>
                <c:pt idx="22">
                  <c:v>3300</c:v>
                </c:pt>
                <c:pt idx="23">
                  <c:v>3081</c:v>
                </c:pt>
                <c:pt idx="24">
                  <c:v>2861</c:v>
                </c:pt>
                <c:pt idx="25">
                  <c:v>2641</c:v>
                </c:pt>
                <c:pt idx="26">
                  <c:v>2421</c:v>
                </c:pt>
                <c:pt idx="27">
                  <c:v>2201</c:v>
                </c:pt>
                <c:pt idx="28">
                  <c:v>1982</c:v>
                </c:pt>
                <c:pt idx="29">
                  <c:v>1762</c:v>
                </c:pt>
                <c:pt idx="30">
                  <c:v>1542</c:v>
                </c:pt>
                <c:pt idx="31">
                  <c:v>1322</c:v>
                </c:pt>
                <c:pt idx="32">
                  <c:v>1215</c:v>
                </c:pt>
                <c:pt idx="33">
                  <c:v>1110</c:v>
                </c:pt>
                <c:pt idx="34">
                  <c:v>1005</c:v>
                </c:pt>
                <c:pt idx="35">
                  <c:v>899</c:v>
                </c:pt>
                <c:pt idx="36">
                  <c:v>794</c:v>
                </c:pt>
                <c:pt idx="37">
                  <c:v>689</c:v>
                </c:pt>
                <c:pt idx="38">
                  <c:v>584</c:v>
                </c:pt>
                <c:pt idx="39">
                  <c:v>478</c:v>
                </c:pt>
                <c:pt idx="40">
                  <c:v>373</c:v>
                </c:pt>
                <c:pt idx="41">
                  <c:v>268</c:v>
                </c:pt>
                <c:pt idx="42">
                  <c:v>163</c:v>
                </c:pt>
                <c:pt idx="43">
                  <c:v>57</c:v>
                </c:pt>
                <c:pt idx="44">
                  <c:v>0</c:v>
                </c:pt>
                <c:pt idx="45">
                  <c:v>0</c:v>
                </c:pt>
                <c:pt idx="46">
                  <c:v>0</c:v>
                </c:pt>
                <c:pt idx="47">
                  <c:v>0</c:v>
                </c:pt>
                <c:pt idx="48">
                  <c:v>0</c:v>
                </c:pt>
                <c:pt idx="49">
                  <c:v>0</c:v>
                </c:pt>
                <c:pt idx="50">
                  <c:v>0</c:v>
                </c:pt>
                <c:pt idx="51">
                  <c:v>0</c:v>
                </c:pt>
                <c:pt idx="52">
                  <c:v>0</c:v>
                </c:pt>
                <c:pt idx="53">
                  <c:v>0</c:v>
                </c:pt>
                <c:pt idx="54">
                  <c:v>0</c:v>
                </c:pt>
              </c:numCache>
            </c:numRef>
          </c:val>
          <c:smooth val="0"/>
        </c:ser>
        <c:dLbls>
          <c:showLegendKey val="0"/>
          <c:showVal val="0"/>
          <c:showCatName val="0"/>
          <c:showSerName val="0"/>
          <c:showPercent val="0"/>
          <c:showBubbleSize val="0"/>
        </c:dLbls>
        <c:marker val="1"/>
        <c:smooth val="0"/>
        <c:axId val="159576064"/>
        <c:axId val="159577600"/>
      </c:lineChart>
      <c:catAx>
        <c:axId val="159576064"/>
        <c:scaling>
          <c:orientation val="minMax"/>
        </c:scaling>
        <c:delete val="0"/>
        <c:axPos val="b"/>
        <c:majorTickMark val="none"/>
        <c:minorTickMark val="none"/>
        <c:tickLblPos val="nextTo"/>
        <c:crossAx val="159577600"/>
        <c:crosses val="autoZero"/>
        <c:auto val="1"/>
        <c:lblAlgn val="ctr"/>
        <c:lblOffset val="100"/>
        <c:noMultiLvlLbl val="0"/>
      </c:catAx>
      <c:valAx>
        <c:axId val="159577600"/>
        <c:scaling>
          <c:orientation val="minMax"/>
        </c:scaling>
        <c:delete val="0"/>
        <c:axPos val="l"/>
        <c:majorGridlines>
          <c:spPr>
            <a:ln>
              <a:solidFill>
                <a:schemeClr val="accent1">
                  <a:alpha val="15000"/>
                </a:schemeClr>
              </a:solidFill>
            </a:ln>
          </c:spPr>
        </c:majorGridlines>
        <c:numFmt formatCode="General" sourceLinked="1"/>
        <c:majorTickMark val="none"/>
        <c:minorTickMark val="none"/>
        <c:tickLblPos val="nextTo"/>
        <c:crossAx val="159576064"/>
        <c:crosses val="autoZero"/>
        <c:crossBetween val="between"/>
      </c:valAx>
    </c:plotArea>
    <c:legend>
      <c:legendPos val="t"/>
      <c:layout>
        <c:manualLayout>
          <c:xMode val="edge"/>
          <c:yMode val="edge"/>
          <c:x val="0.11352811346442657"/>
          <c:y val="8.4432717678100261E-2"/>
          <c:w val="0.77294359762516318"/>
          <c:h val="6.3672230231784407E-2"/>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919185-CE66-47C6-AA18-27DF984AE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3963</Words>
  <Characters>22591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dc:creator>
  <cp:lastModifiedBy>Lucy</cp:lastModifiedBy>
  <cp:revision>2</cp:revision>
  <dcterms:created xsi:type="dcterms:W3CDTF">2015-07-04T10:32:00Z</dcterms:created>
  <dcterms:modified xsi:type="dcterms:W3CDTF">2015-07-04T10:32:00Z</dcterms:modified>
</cp:coreProperties>
</file>