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E9D" w:rsidRDefault="001C70B8" w:rsidP="001C70B8">
      <w:r>
        <w:rPr>
          <w:noProof/>
          <w:lang w:eastAsia="en-GB"/>
        </w:rPr>
        <w:drawing>
          <wp:inline distT="0" distB="0" distL="0" distR="0" wp14:anchorId="606D504D" wp14:editId="2D8C2DFE">
            <wp:extent cx="5734050" cy="4219575"/>
            <wp:effectExtent l="0" t="0" r="19050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E60092" w:rsidRDefault="001C70B8" w:rsidP="001C70B8">
      <w:bookmarkStart w:id="0" w:name="_GoBack"/>
      <w:r>
        <w:rPr>
          <w:noProof/>
          <w:lang w:eastAsia="en-GB"/>
        </w:rPr>
        <w:drawing>
          <wp:inline distT="0" distB="0" distL="0" distR="0" wp14:anchorId="13F67221" wp14:editId="2FF42CE7">
            <wp:extent cx="5734050" cy="4238625"/>
            <wp:effectExtent l="0" t="0" r="19050" b="952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bookmarkEnd w:id="0"/>
    </w:p>
    <w:p w:rsidR="001C70B8" w:rsidRDefault="00E60092" w:rsidP="001C70B8">
      <w:r>
        <w:br w:type="page"/>
      </w:r>
      <w:r>
        <w:rPr>
          <w:u w:val="single"/>
        </w:rPr>
        <w:lastRenderedPageBreak/>
        <w:t>N</w:t>
      </w:r>
      <w:r w:rsidRPr="00E60092">
        <w:rPr>
          <w:u w:val="single"/>
        </w:rPr>
        <w:t>otes</w:t>
      </w:r>
    </w:p>
    <w:p w:rsidR="00E60092" w:rsidRDefault="00E60092" w:rsidP="001C70B8">
      <w:proofErr w:type="gramStart"/>
      <w:r>
        <w:t>Debt shares taken from SLC and Scottish Government (SAAS) data.</w:t>
      </w:r>
      <w:proofErr w:type="gramEnd"/>
    </w:p>
    <w:p w:rsidR="00E60092" w:rsidRDefault="00E60092" w:rsidP="001C70B8">
      <w:r>
        <w:t xml:space="preserve">Student population shares estimated from the most complete data set available for each jurisdiction, </w:t>
      </w:r>
      <w:proofErr w:type="spellStart"/>
      <w:r>
        <w:t>ie</w:t>
      </w:r>
      <w:proofErr w:type="spellEnd"/>
      <w:r>
        <w:t xml:space="preserve"> SAAS data on all students supported, and </w:t>
      </w:r>
      <w:r>
        <w:t>maintenance loan data</w:t>
      </w:r>
      <w:r>
        <w:t xml:space="preserve"> for England, Wales and Northern Ireland. All “Income not declared” students assumed to fall into the “over £30,000” category in each case.    These are imperfect data sets, but surprisingly consistent with each other and good enough to bring the similarity </w:t>
      </w:r>
      <w:proofErr w:type="gramStart"/>
      <w:r>
        <w:t>between  England</w:t>
      </w:r>
      <w:proofErr w:type="gramEnd"/>
      <w:r>
        <w:t>, Wales and Northern Ireland and their difference from Scotland.</w:t>
      </w:r>
    </w:p>
    <w:p w:rsidR="00093EB5" w:rsidRDefault="00093EB5" w:rsidP="001C70B8">
      <w:r>
        <w:t xml:space="preserve">The figures are available in £10,000 bands.  However, individual income categories over £30,000 are less reliable, especially in Scotland, where grant ceases to be available well below £40,000, creating a lower incentive to seek mean-tested support.  </w:t>
      </w:r>
    </w:p>
    <w:p w:rsidR="00E60092" w:rsidRPr="00E60092" w:rsidRDefault="00E60092" w:rsidP="001C70B8">
      <w:r>
        <w:t>All data relates to 2012-13.</w:t>
      </w:r>
    </w:p>
    <w:sectPr w:rsidR="00E60092" w:rsidRPr="00E600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B97"/>
    <w:rsid w:val="000104F4"/>
    <w:rsid w:val="00014922"/>
    <w:rsid w:val="0002666A"/>
    <w:rsid w:val="000476B3"/>
    <w:rsid w:val="00050073"/>
    <w:rsid w:val="00070CA6"/>
    <w:rsid w:val="00093EB5"/>
    <w:rsid w:val="000C28DF"/>
    <w:rsid w:val="000C4E72"/>
    <w:rsid w:val="000D09F7"/>
    <w:rsid w:val="000E533D"/>
    <w:rsid w:val="000E61F8"/>
    <w:rsid w:val="00100157"/>
    <w:rsid w:val="001030C7"/>
    <w:rsid w:val="0010470F"/>
    <w:rsid w:val="00155215"/>
    <w:rsid w:val="001713E7"/>
    <w:rsid w:val="00181762"/>
    <w:rsid w:val="00192DCA"/>
    <w:rsid w:val="00195652"/>
    <w:rsid w:val="001A2DAE"/>
    <w:rsid w:val="001C70B8"/>
    <w:rsid w:val="001E65F0"/>
    <w:rsid w:val="001E6E4F"/>
    <w:rsid w:val="001F248F"/>
    <w:rsid w:val="002106C4"/>
    <w:rsid w:val="0027382A"/>
    <w:rsid w:val="002A45AE"/>
    <w:rsid w:val="002B64D5"/>
    <w:rsid w:val="002D35E8"/>
    <w:rsid w:val="002D46E8"/>
    <w:rsid w:val="002F79A6"/>
    <w:rsid w:val="00305191"/>
    <w:rsid w:val="003204A2"/>
    <w:rsid w:val="00335C3D"/>
    <w:rsid w:val="0036447D"/>
    <w:rsid w:val="00387D79"/>
    <w:rsid w:val="003A17CF"/>
    <w:rsid w:val="003A3EB9"/>
    <w:rsid w:val="003B1510"/>
    <w:rsid w:val="003B5E1F"/>
    <w:rsid w:val="003C0494"/>
    <w:rsid w:val="004038CC"/>
    <w:rsid w:val="00450C05"/>
    <w:rsid w:val="004A2529"/>
    <w:rsid w:val="004C5761"/>
    <w:rsid w:val="004C6A39"/>
    <w:rsid w:val="004E1A98"/>
    <w:rsid w:val="005107ED"/>
    <w:rsid w:val="005130A6"/>
    <w:rsid w:val="00514786"/>
    <w:rsid w:val="00522469"/>
    <w:rsid w:val="0055511E"/>
    <w:rsid w:val="005604B1"/>
    <w:rsid w:val="0056073F"/>
    <w:rsid w:val="00575150"/>
    <w:rsid w:val="00581504"/>
    <w:rsid w:val="005A3830"/>
    <w:rsid w:val="005A6B11"/>
    <w:rsid w:val="005B5534"/>
    <w:rsid w:val="005E1FF8"/>
    <w:rsid w:val="005F1FC9"/>
    <w:rsid w:val="005F3081"/>
    <w:rsid w:val="00611239"/>
    <w:rsid w:val="00620D4B"/>
    <w:rsid w:val="006238E3"/>
    <w:rsid w:val="00641566"/>
    <w:rsid w:val="006A06DD"/>
    <w:rsid w:val="006E0AE9"/>
    <w:rsid w:val="006E26B7"/>
    <w:rsid w:val="006E33DF"/>
    <w:rsid w:val="00745D52"/>
    <w:rsid w:val="00752701"/>
    <w:rsid w:val="007B30F9"/>
    <w:rsid w:val="007C096D"/>
    <w:rsid w:val="007E41FB"/>
    <w:rsid w:val="007F4037"/>
    <w:rsid w:val="008031E1"/>
    <w:rsid w:val="00816E9D"/>
    <w:rsid w:val="00835BD4"/>
    <w:rsid w:val="008651F1"/>
    <w:rsid w:val="008A3E4B"/>
    <w:rsid w:val="008A7307"/>
    <w:rsid w:val="008C736D"/>
    <w:rsid w:val="008D2A0D"/>
    <w:rsid w:val="008E29B9"/>
    <w:rsid w:val="00932496"/>
    <w:rsid w:val="0093367E"/>
    <w:rsid w:val="009363A4"/>
    <w:rsid w:val="009457EB"/>
    <w:rsid w:val="00945B5A"/>
    <w:rsid w:val="009564DC"/>
    <w:rsid w:val="00972A18"/>
    <w:rsid w:val="009809DA"/>
    <w:rsid w:val="00986EA0"/>
    <w:rsid w:val="009C745B"/>
    <w:rsid w:val="009E0A37"/>
    <w:rsid w:val="009E19C2"/>
    <w:rsid w:val="009F783E"/>
    <w:rsid w:val="009F7B2A"/>
    <w:rsid w:val="00A149C3"/>
    <w:rsid w:val="00A25AB8"/>
    <w:rsid w:val="00A3032D"/>
    <w:rsid w:val="00A3363D"/>
    <w:rsid w:val="00A42BF2"/>
    <w:rsid w:val="00B06622"/>
    <w:rsid w:val="00B254B4"/>
    <w:rsid w:val="00B27AD8"/>
    <w:rsid w:val="00B30EE0"/>
    <w:rsid w:val="00B31153"/>
    <w:rsid w:val="00B5184F"/>
    <w:rsid w:val="00B82FDB"/>
    <w:rsid w:val="00BD4D8A"/>
    <w:rsid w:val="00BD6BD9"/>
    <w:rsid w:val="00BD7D0B"/>
    <w:rsid w:val="00C100F7"/>
    <w:rsid w:val="00C31F80"/>
    <w:rsid w:val="00C57F1A"/>
    <w:rsid w:val="00C760E2"/>
    <w:rsid w:val="00C806CA"/>
    <w:rsid w:val="00C847F1"/>
    <w:rsid w:val="00C84C5C"/>
    <w:rsid w:val="00C944F7"/>
    <w:rsid w:val="00CC786A"/>
    <w:rsid w:val="00CD5D9F"/>
    <w:rsid w:val="00D01E28"/>
    <w:rsid w:val="00D04F07"/>
    <w:rsid w:val="00D07AC1"/>
    <w:rsid w:val="00D27869"/>
    <w:rsid w:val="00D27F25"/>
    <w:rsid w:val="00D44AC6"/>
    <w:rsid w:val="00D458F0"/>
    <w:rsid w:val="00D53E40"/>
    <w:rsid w:val="00D60BE1"/>
    <w:rsid w:val="00D70DDF"/>
    <w:rsid w:val="00D81161"/>
    <w:rsid w:val="00D81284"/>
    <w:rsid w:val="00DD73CF"/>
    <w:rsid w:val="00DF282A"/>
    <w:rsid w:val="00DF6AAD"/>
    <w:rsid w:val="00E0194F"/>
    <w:rsid w:val="00E23575"/>
    <w:rsid w:val="00E60092"/>
    <w:rsid w:val="00E60654"/>
    <w:rsid w:val="00E65BF5"/>
    <w:rsid w:val="00E76135"/>
    <w:rsid w:val="00E90D4A"/>
    <w:rsid w:val="00E959E0"/>
    <w:rsid w:val="00EB3EF2"/>
    <w:rsid w:val="00EB4FEB"/>
    <w:rsid w:val="00ED1EB4"/>
    <w:rsid w:val="00ED3CBE"/>
    <w:rsid w:val="00ED740D"/>
    <w:rsid w:val="00EF39BF"/>
    <w:rsid w:val="00F33E36"/>
    <w:rsid w:val="00F35125"/>
    <w:rsid w:val="00F523FA"/>
    <w:rsid w:val="00FB29E2"/>
    <w:rsid w:val="00FD4275"/>
    <w:rsid w:val="00FD6B97"/>
    <w:rsid w:val="00FE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7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0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7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70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Odds\UK%20debt%20distribution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Odds\UK%20debt%20distributio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GB"/>
              <a:t>Debt share vs student population share</a:t>
            </a:r>
          </a:p>
        </c:rich>
      </c:tx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'Comps % debt'!$AC$6:$AC$7</c:f>
              <c:strCache>
                <c:ptCount val="1"/>
                <c:pt idx="0">
                  <c:v>Scotland debt share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debt'!$AC$8:$AC$10</c:f>
              <c:numCache>
                <c:formatCode>0</c:formatCode>
                <c:ptCount val="3"/>
                <c:pt idx="0">
                  <c:v>31.19411292584789</c:v>
                </c:pt>
                <c:pt idx="1">
                  <c:v>38.747948625752542</c:v>
                </c:pt>
                <c:pt idx="2">
                  <c:v>30.057938448399568</c:v>
                </c:pt>
              </c:numCache>
            </c:numRef>
          </c:val>
        </c:ser>
        <c:ser>
          <c:idx val="2"/>
          <c:order val="2"/>
          <c:tx>
            <c:strRef>
              <c:f>'Comps % debt'!$AE$6:$AE$7</c:f>
              <c:strCache>
                <c:ptCount val="1"/>
                <c:pt idx="0">
                  <c:v>Wales debt share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debt'!$AE$8:$AE$10</c:f>
              <c:numCache>
                <c:formatCode>0</c:formatCode>
                <c:ptCount val="3"/>
                <c:pt idx="0">
                  <c:v>13.436702626595727</c:v>
                </c:pt>
                <c:pt idx="1">
                  <c:v>34.348456199596257</c:v>
                </c:pt>
                <c:pt idx="2">
                  <c:v>52.214841173808011</c:v>
                </c:pt>
              </c:numCache>
            </c:numRef>
          </c:val>
        </c:ser>
        <c:ser>
          <c:idx val="4"/>
          <c:order val="4"/>
          <c:tx>
            <c:strRef>
              <c:f>'Comps % debt'!$AG$6:$AG$7</c:f>
              <c:strCache>
                <c:ptCount val="1"/>
                <c:pt idx="0">
                  <c:v>Northern Ireland debt share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</c:spPr>
          <c:invertIfNegative val="0"/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debt'!$AG$8:$AG$10</c:f>
              <c:numCache>
                <c:formatCode>0</c:formatCode>
                <c:ptCount val="3"/>
                <c:pt idx="0">
                  <c:v>10.770967876924809</c:v>
                </c:pt>
                <c:pt idx="1">
                  <c:v>39.974832124284987</c:v>
                </c:pt>
                <c:pt idx="2">
                  <c:v>49.254199998790199</c:v>
                </c:pt>
              </c:numCache>
            </c:numRef>
          </c:val>
        </c:ser>
        <c:ser>
          <c:idx val="6"/>
          <c:order val="6"/>
          <c:tx>
            <c:strRef>
              <c:f>'Comps % debt'!$AI$6:$AI$7</c:f>
              <c:strCache>
                <c:ptCount val="1"/>
                <c:pt idx="0">
                  <c:v>England debt share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debt'!$AI$8:$AI$10</c:f>
              <c:numCache>
                <c:formatCode>0</c:formatCode>
                <c:ptCount val="3"/>
                <c:pt idx="0">
                  <c:v>15.585120762216624</c:v>
                </c:pt>
                <c:pt idx="1">
                  <c:v>32.046797587212538</c:v>
                </c:pt>
                <c:pt idx="2">
                  <c:v>52.368081650570844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357248"/>
        <c:axId val="162359552"/>
      </c:barChart>
      <c:lineChart>
        <c:grouping val="standard"/>
        <c:varyColors val="0"/>
        <c:ser>
          <c:idx val="1"/>
          <c:order val="1"/>
          <c:tx>
            <c:strRef>
              <c:f>'Comps % debt'!$AD$6:$AD$7</c:f>
              <c:strCache>
                <c:ptCount val="1"/>
                <c:pt idx="0">
                  <c:v>Scotland Student number share</c:v>
                </c:pt>
              </c:strCache>
            </c:strRef>
          </c:tx>
          <c:spPr>
            <a:ln>
              <a:solidFill>
                <a:srgbClr val="FF0000"/>
              </a:solidFill>
              <a:prstDash val="sysDot"/>
            </a:ln>
          </c:spPr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debt'!$AD$8:$AD$10</c:f>
              <c:numCache>
                <c:formatCode>General</c:formatCode>
                <c:ptCount val="3"/>
                <c:pt idx="0">
                  <c:v>14.90886749948802</c:v>
                </c:pt>
                <c:pt idx="1">
                  <c:v>29.694859717386851</c:v>
                </c:pt>
                <c:pt idx="2" formatCode="0">
                  <c:v>55.396272783125127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'Comps % debt'!$AF$6:$AF$7</c:f>
              <c:strCache>
                <c:ptCount val="1"/>
                <c:pt idx="0">
                  <c:v>W Student number share</c:v>
                </c:pt>
              </c:strCache>
            </c:strRef>
          </c:tx>
          <c:spPr>
            <a:ln>
              <a:solidFill>
                <a:srgbClr val="92D050"/>
              </a:solidFill>
              <a:prstDash val="dash"/>
            </a:ln>
          </c:spPr>
          <c:marker>
            <c:symbol val="diamond"/>
            <c:size val="9"/>
            <c:spPr>
              <a:solidFill>
                <a:srgbClr val="92D050"/>
              </a:solidFill>
            </c:spPr>
          </c:marker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debt'!$AF$8:$AF$10</c:f>
              <c:numCache>
                <c:formatCode>General</c:formatCode>
                <c:ptCount val="3"/>
                <c:pt idx="0">
                  <c:v>14.170268746476225</c:v>
                </c:pt>
                <c:pt idx="1">
                  <c:v>35.989475662469459</c:v>
                </c:pt>
                <c:pt idx="2" formatCode="0">
                  <c:v>49.840255591054316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'Comps % debt'!$AH$6:$AH$7</c:f>
              <c:strCache>
                <c:ptCount val="1"/>
                <c:pt idx="0">
                  <c:v>NI Student number share</c:v>
                </c:pt>
              </c:strCache>
            </c:strRef>
          </c:tx>
          <c:spPr>
            <a:ln>
              <a:solidFill>
                <a:schemeClr val="accent4">
                  <a:lumMod val="60000"/>
                  <a:lumOff val="40000"/>
                </a:schemeClr>
              </a:solidFill>
              <a:prstDash val="sysDot"/>
            </a:ln>
          </c:spPr>
          <c:marker>
            <c:spPr>
              <a:solidFill>
                <a:schemeClr val="accent4">
                  <a:lumMod val="60000"/>
                  <a:lumOff val="40000"/>
                </a:schemeClr>
              </a:solidFill>
            </c:spPr>
          </c:marker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debt'!$AH$8:$AH$10</c:f>
              <c:numCache>
                <c:formatCode>General</c:formatCode>
                <c:ptCount val="3"/>
                <c:pt idx="0">
                  <c:v>10.754888585720781</c:v>
                </c:pt>
                <c:pt idx="1">
                  <c:v>40.200090950432013</c:v>
                </c:pt>
                <c:pt idx="2" formatCode="0">
                  <c:v>49.045020463847209</c:v>
                </c:pt>
              </c:numCache>
            </c:numRef>
          </c:val>
          <c:smooth val="0"/>
        </c:ser>
        <c:ser>
          <c:idx val="7"/>
          <c:order val="7"/>
          <c:tx>
            <c:strRef>
              <c:f>'Comps % debt'!$AJ$6:$AJ$7</c:f>
              <c:strCache>
                <c:ptCount val="1"/>
                <c:pt idx="0">
                  <c:v>E Student number share</c:v>
                </c:pt>
              </c:strCache>
            </c:strRef>
          </c:tx>
          <c:spPr>
            <a:ln>
              <a:solidFill>
                <a:srgbClr val="FFC000"/>
              </a:solidFill>
              <a:prstDash val="sysDash"/>
            </a:ln>
          </c:spPr>
          <c:marker>
            <c:symbol val="triangle"/>
            <c:size val="8"/>
            <c:spPr>
              <a:solidFill>
                <a:srgbClr val="FFC000"/>
              </a:solidFill>
            </c:spPr>
          </c:marker>
          <c:cat>
            <c:strRef>
              <c:f>'Comps % debt'!$AB$8:$AB$10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debt'!$AJ$8:$AJ$10</c:f>
              <c:numCache>
                <c:formatCode>General</c:formatCode>
                <c:ptCount val="3"/>
                <c:pt idx="0">
                  <c:v>14.521298696159706</c:v>
                </c:pt>
                <c:pt idx="1">
                  <c:v>32.025206260016226</c:v>
                </c:pt>
                <c:pt idx="2" formatCode="0">
                  <c:v>53.45349504382407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2357248"/>
        <c:axId val="162359552"/>
      </c:lineChart>
      <c:catAx>
        <c:axId val="1623572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Household</a:t>
                </a:r>
                <a:r>
                  <a:rPr lang="en-GB" baseline="0"/>
                  <a:t> income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0.31050653552026924"/>
              <c:y val="0.92006564642173683"/>
            </c:manualLayout>
          </c:layout>
          <c:overlay val="0"/>
        </c:title>
        <c:majorTickMark val="none"/>
        <c:minorTickMark val="none"/>
        <c:tickLblPos val="nextTo"/>
        <c:crossAx val="162359552"/>
        <c:crosses val="autoZero"/>
        <c:auto val="1"/>
        <c:lblAlgn val="ctr"/>
        <c:lblOffset val="100"/>
        <c:noMultiLvlLbl val="0"/>
      </c:catAx>
      <c:valAx>
        <c:axId val="16235955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/>
                  <a:t>% share</a:t>
                </a:r>
              </a:p>
            </c:rich>
          </c:tx>
          <c:layout/>
          <c:overlay val="0"/>
        </c:title>
        <c:numFmt formatCode="0" sourceLinked="1"/>
        <c:majorTickMark val="none"/>
        <c:minorTickMark val="none"/>
        <c:tickLblPos val="nextTo"/>
        <c:crossAx val="16235724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50"/>
            </a:pPr>
            <a:r>
              <a:rPr lang="en-GB" sz="1050"/>
              <a:t>Debt</a:t>
            </a:r>
            <a:r>
              <a:rPr lang="en-GB" sz="1050" baseline="0"/>
              <a:t> distribution pro rata student population, where</a:t>
            </a:r>
          </a:p>
          <a:p>
            <a:pPr>
              <a:defRPr sz="1050"/>
            </a:pPr>
            <a:r>
              <a:rPr lang="en-GB" sz="1050" baseline="0"/>
              <a:t> 100% = debt share matches population share,</a:t>
            </a:r>
          </a:p>
          <a:p>
            <a:pPr>
              <a:defRPr sz="1050"/>
            </a:pPr>
            <a:r>
              <a:rPr lang="en-GB" sz="1050" i="1" baseline="0"/>
              <a:t>plus</a:t>
            </a:r>
            <a:r>
              <a:rPr lang="en-GB" sz="1050" baseline="0"/>
              <a:t> debt per head (active borrowers only), where </a:t>
            </a:r>
          </a:p>
          <a:p>
            <a:pPr>
              <a:defRPr sz="1050"/>
            </a:pPr>
            <a:r>
              <a:rPr lang="en-GB" sz="1050" baseline="0"/>
              <a:t>100% = average for lowest income Scots (£4965)</a:t>
            </a:r>
            <a:endParaRPr lang="en-GB" sz="1050"/>
          </a:p>
        </c:rich>
      </c:tx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'Comps % debt'!$AC$23</c:f>
              <c:strCache>
                <c:ptCount val="1"/>
                <c:pt idx="0">
                  <c:v>Scotland: share of debt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debt'!$AC$24:$AC$26</c:f>
              <c:numCache>
                <c:formatCode>0.00</c:formatCode>
                <c:ptCount val="3"/>
                <c:pt idx="0">
                  <c:v>209.2319415067517</c:v>
                </c:pt>
                <c:pt idx="1">
                  <c:v>130.48705733762048</c:v>
                </c:pt>
                <c:pt idx="2">
                  <c:v>54.259857095576749</c:v>
                </c:pt>
              </c:numCache>
            </c:numRef>
          </c:val>
        </c:ser>
        <c:ser>
          <c:idx val="1"/>
          <c:order val="1"/>
          <c:tx>
            <c:strRef>
              <c:f>'Comps % debt'!$AD$23</c:f>
              <c:strCache>
                <c:ptCount val="1"/>
                <c:pt idx="0">
                  <c:v>Wales: share of debt</c:v>
                </c:pt>
              </c:strCache>
            </c:strRef>
          </c:tx>
          <c:spPr>
            <a:solidFill>
              <a:srgbClr val="92D050"/>
            </a:solidFill>
          </c:spPr>
          <c:invertIfNegative val="0"/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debt'!$AD$24:$AD$26</c:f>
              <c:numCache>
                <c:formatCode>0.00</c:formatCode>
                <c:ptCount val="3"/>
                <c:pt idx="0">
                  <c:v>94.823202488217333</c:v>
                </c:pt>
                <c:pt idx="1">
                  <c:v>95.440279602115766</c:v>
                </c:pt>
                <c:pt idx="2">
                  <c:v>104.76439286796094</c:v>
                </c:pt>
              </c:numCache>
            </c:numRef>
          </c:val>
        </c:ser>
        <c:ser>
          <c:idx val="2"/>
          <c:order val="2"/>
          <c:tx>
            <c:strRef>
              <c:f>'Comps % debt'!$AE$23</c:f>
              <c:strCache>
                <c:ptCount val="1"/>
                <c:pt idx="0">
                  <c:v>NI: share of debt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</c:spPr>
          <c:invertIfNegative val="0"/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debt'!$AE$24:$AE$26</c:f>
              <c:numCache>
                <c:formatCode>0.00</c:formatCode>
                <c:ptCount val="3"/>
                <c:pt idx="0">
                  <c:v>100.14950681335162</c:v>
                </c:pt>
                <c:pt idx="1">
                  <c:v>99.439655929075442</c:v>
                </c:pt>
                <c:pt idx="2">
                  <c:v>100.42650514356943</c:v>
                </c:pt>
              </c:numCache>
            </c:numRef>
          </c:val>
        </c:ser>
        <c:ser>
          <c:idx val="3"/>
          <c:order val="3"/>
          <c:tx>
            <c:strRef>
              <c:f>'Comps % debt'!$AF$23</c:f>
              <c:strCache>
                <c:ptCount val="1"/>
                <c:pt idx="0">
                  <c:v>England: share of debt</c:v>
                </c:pt>
              </c:strCache>
            </c:strRef>
          </c:tx>
          <c:spPr>
            <a:solidFill>
              <a:srgbClr val="FFC000"/>
            </a:solidFill>
          </c:spPr>
          <c:invertIfNegative val="0"/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debt'!$AF$24:$AF$26</c:f>
              <c:numCache>
                <c:formatCode>0.00</c:formatCode>
                <c:ptCount val="3"/>
                <c:pt idx="0">
                  <c:v>107.32594300493423</c:v>
                </c:pt>
                <c:pt idx="1">
                  <c:v>100.06741979121385</c:v>
                </c:pt>
                <c:pt idx="2">
                  <c:v>97.969424838612809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386304"/>
        <c:axId val="162388608"/>
      </c:barChart>
      <c:lineChart>
        <c:grouping val="standard"/>
        <c:varyColors val="0"/>
        <c:ser>
          <c:idx val="4"/>
          <c:order val="4"/>
          <c:tx>
            <c:strRef>
              <c:f>'Comps % debt'!$AG$23</c:f>
              <c:strCache>
                <c:ptCount val="1"/>
                <c:pt idx="0">
                  <c:v>Scot debt per head</c:v>
                </c:pt>
              </c:strCache>
            </c:strRef>
          </c:tx>
          <c:spPr>
            <a:ln>
              <a:solidFill>
                <a:srgbClr val="FF0000">
                  <a:alpha val="35000"/>
                </a:srgbClr>
              </a:solidFill>
            </a:ln>
          </c:spPr>
          <c:marker>
            <c:symbol val="circle"/>
            <c:size val="7"/>
            <c:spPr>
              <a:solidFill>
                <a:srgbClr val="FF0000"/>
              </a:solidFill>
            </c:spPr>
          </c:marker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debt'!$AG$24:$AG$26</c:f>
              <c:numCache>
                <c:formatCode>0.00</c:formatCode>
                <c:ptCount val="3"/>
                <c:pt idx="0">
                  <c:v>100</c:v>
                </c:pt>
                <c:pt idx="1">
                  <c:v>73.15553575489254</c:v>
                </c:pt>
                <c:pt idx="2">
                  <c:v>39.940703241319234</c:v>
                </c:pt>
              </c:numCache>
            </c:numRef>
          </c:val>
          <c:smooth val="0"/>
        </c:ser>
        <c:ser>
          <c:idx val="5"/>
          <c:order val="5"/>
          <c:tx>
            <c:strRef>
              <c:f>'Comps % debt'!$AH$23</c:f>
              <c:strCache>
                <c:ptCount val="1"/>
                <c:pt idx="0">
                  <c:v>W debt per head</c:v>
                </c:pt>
              </c:strCache>
            </c:strRef>
          </c:tx>
          <c:spPr>
            <a:ln>
              <a:solidFill>
                <a:srgbClr val="92D050">
                  <a:alpha val="48000"/>
                </a:srgbClr>
              </a:solidFill>
            </a:ln>
          </c:spPr>
          <c:marker>
            <c:symbol val="triangle"/>
            <c:size val="7"/>
            <c:spPr>
              <a:solidFill>
                <a:srgbClr val="92D050"/>
              </a:solidFill>
            </c:spPr>
          </c:marker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debt'!$AH$24:$AH$26</c:f>
              <c:numCache>
                <c:formatCode>0.00</c:formatCode>
                <c:ptCount val="3"/>
                <c:pt idx="0">
                  <c:v>109.97299398174489</c:v>
                </c:pt>
                <c:pt idx="1">
                  <c:v>103.86270472945081</c:v>
                </c:pt>
                <c:pt idx="2">
                  <c:v>126.43147583613195</c:v>
                </c:pt>
              </c:numCache>
            </c:numRef>
          </c:val>
          <c:smooth val="0"/>
        </c:ser>
        <c:ser>
          <c:idx val="6"/>
          <c:order val="6"/>
          <c:tx>
            <c:strRef>
              <c:f>'Comps % debt'!$AI$23</c:f>
              <c:strCache>
                <c:ptCount val="1"/>
                <c:pt idx="0">
                  <c:v>E debt per head</c:v>
                </c:pt>
              </c:strCache>
            </c:strRef>
          </c:tx>
          <c:spPr>
            <a:ln>
              <a:solidFill>
                <a:srgbClr val="FFC000">
                  <a:alpha val="47000"/>
                </a:srgbClr>
              </a:solidFill>
            </a:ln>
          </c:spPr>
          <c:marker>
            <c:symbol val="square"/>
            <c:size val="7"/>
            <c:spPr>
              <a:solidFill>
                <a:srgbClr val="FFC000"/>
              </a:solidFill>
            </c:spPr>
          </c:marker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debt'!$AI$24:$AI$26</c:f>
              <c:numCache>
                <c:formatCode>0.00</c:formatCode>
                <c:ptCount val="3"/>
                <c:pt idx="0">
                  <c:v>173.64210417125889</c:v>
                </c:pt>
                <c:pt idx="1">
                  <c:v>161.89857591781148</c:v>
                </c:pt>
                <c:pt idx="2">
                  <c:v>158.50424042062807</c:v>
                </c:pt>
              </c:numCache>
            </c:numRef>
          </c:val>
          <c:smooth val="0"/>
        </c:ser>
        <c:ser>
          <c:idx val="7"/>
          <c:order val="7"/>
          <c:tx>
            <c:strRef>
              <c:f>'Comps % debt'!$AJ$23</c:f>
              <c:strCache>
                <c:ptCount val="1"/>
                <c:pt idx="0">
                  <c:v>NI debt per head</c:v>
                </c:pt>
              </c:strCache>
            </c:strRef>
          </c:tx>
          <c:spPr>
            <a:ln>
              <a:solidFill>
                <a:schemeClr val="accent4">
                  <a:lumMod val="60000"/>
                  <a:lumOff val="40000"/>
                  <a:alpha val="41000"/>
                </a:schemeClr>
              </a:solidFill>
            </a:ln>
          </c:spPr>
          <c:marker>
            <c:symbol val="diamond"/>
            <c:size val="6"/>
            <c:spPr>
              <a:solidFill>
                <a:schemeClr val="accent4">
                  <a:lumMod val="60000"/>
                  <a:lumOff val="40000"/>
                </a:schemeClr>
              </a:solidFill>
            </c:spPr>
          </c:marker>
          <c:cat>
            <c:strRef>
              <c:f>'Comps % debt'!$AB$24:$AB$26</c:f>
              <c:strCache>
                <c:ptCount val="3"/>
                <c:pt idx="0">
                  <c:v>0</c:v>
                </c:pt>
                <c:pt idx="1">
                  <c:v>1-30k</c:v>
                </c:pt>
                <c:pt idx="2">
                  <c:v>30k+</c:v>
                </c:pt>
              </c:strCache>
            </c:strRef>
          </c:cat>
          <c:val>
            <c:numRef>
              <c:f>'Comps % debt'!$AJ$24:$AJ$26</c:f>
              <c:numCache>
                <c:formatCode>0.00</c:formatCode>
                <c:ptCount val="3"/>
                <c:pt idx="0">
                  <c:v>123.84875949830632</c:v>
                </c:pt>
                <c:pt idx="1">
                  <c:v>120.23485666634768</c:v>
                </c:pt>
                <c:pt idx="2">
                  <c:v>126.43394816100277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62386304"/>
        <c:axId val="162388608"/>
      </c:lineChart>
      <c:catAx>
        <c:axId val="1623863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GB"/>
                  <a:t>Household</a:t>
                </a:r>
                <a:r>
                  <a:rPr lang="en-GB" baseline="0"/>
                  <a:t> income</a:t>
                </a:r>
                <a:endParaRPr lang="en-GB"/>
              </a:p>
            </c:rich>
          </c:tx>
          <c:layout/>
          <c:overlay val="0"/>
        </c:title>
        <c:majorTickMark val="none"/>
        <c:minorTickMark val="none"/>
        <c:tickLblPos val="nextTo"/>
        <c:crossAx val="162388608"/>
        <c:crosses val="autoZero"/>
        <c:auto val="1"/>
        <c:lblAlgn val="ctr"/>
        <c:lblOffset val="100"/>
        <c:noMultiLvlLbl val="0"/>
      </c:catAx>
      <c:valAx>
        <c:axId val="162388608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/>
                  <a:t>%</a:t>
                </a:r>
              </a:p>
            </c:rich>
          </c:tx>
          <c:layout/>
          <c:overlay val="0"/>
        </c:title>
        <c:numFmt formatCode="0.00" sourceLinked="1"/>
        <c:majorTickMark val="none"/>
        <c:minorTickMark val="none"/>
        <c:tickLblPos val="nextTo"/>
        <c:crossAx val="162386304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</cp:lastModifiedBy>
  <cp:revision>1</cp:revision>
  <dcterms:created xsi:type="dcterms:W3CDTF">2014-04-28T15:20:00Z</dcterms:created>
  <dcterms:modified xsi:type="dcterms:W3CDTF">2014-04-28T22:03:00Z</dcterms:modified>
</cp:coreProperties>
</file>